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48"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FORM 8-K</w:t>
      </w:r>
    </w:p>
    <w:p>
      <w:pPr>
        <w:spacing w:after="0" w:line="282"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33"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w:t>
      </w:r>
    </w:p>
    <w:p>
      <w:pPr>
        <w:spacing w:after="0" w:line="17" w:lineRule="exact"/>
        <w:rPr>
          <w:sz w:val="24"/>
          <w:szCs w:val="24"/>
          <w:color w:val="auto"/>
        </w:rPr>
      </w:pPr>
    </w:p>
    <w:p>
      <w:pPr>
        <w:ind w:left="3720"/>
        <w:spacing w:after="0"/>
        <w:rPr>
          <w:sz w:val="20"/>
          <w:szCs w:val="20"/>
          <w:color w:val="auto"/>
        </w:rPr>
      </w:pPr>
      <w:r>
        <w:rPr>
          <w:rFonts w:ascii="Arial" w:cs="Arial" w:eastAsia="Arial" w:hAnsi="Arial"/>
          <w:sz w:val="22"/>
          <w:szCs w:val="22"/>
          <w:b w:val="1"/>
          <w:bCs w:val="1"/>
          <w:color w:val="auto"/>
        </w:rPr>
        <w:t>The Securities Exchange Act of 1934</w:t>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4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January 3, 2022</w:t>
      </w:r>
    </w:p>
    <w:p>
      <w:pPr>
        <w:spacing w:after="0" w:line="248"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NUTANIX, INC.</w:t>
      </w:r>
    </w:p>
    <w:p>
      <w:pPr>
        <w:spacing w:after="0" w:line="111" w:lineRule="exact"/>
        <w:rPr>
          <w:sz w:val="24"/>
          <w:szCs w:val="24"/>
          <w:color w:val="auto"/>
        </w:rPr>
      </w:pPr>
    </w:p>
    <w:tbl>
      <w:tblPr>
        <w:tblLayout w:type="fixed"/>
        <w:tblInd w:w="740" w:type="dxa"/>
        <w:tblCellMar>
          <w:top w:w="0" w:type="dxa"/>
          <w:left w:w="0" w:type="dxa"/>
          <w:bottom w:w="0" w:type="dxa"/>
          <w:right w:w="0" w:type="dxa"/>
        </w:tblCellMar>
      </w:tblPr>
      <w:tr>
        <w:trPr>
          <w:trHeight w:val="217"/>
        </w:trPr>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300" w:type="dxa"/>
            <w:vAlign w:val="bottom"/>
            <w:gridSpan w:val="3"/>
          </w:tcPr>
          <w:p>
            <w:pPr>
              <w:jc w:val="center"/>
              <w:ind w:right="200"/>
              <w:spacing w:after="0"/>
              <w:rPr>
                <w:sz w:val="20"/>
                <w:szCs w:val="20"/>
                <w:color w:val="auto"/>
              </w:rPr>
            </w:pPr>
            <w:r>
              <w:rPr>
                <w:rFonts w:ascii="Arial" w:cs="Arial" w:eastAsia="Arial" w:hAnsi="Arial"/>
                <w:sz w:val="18"/>
                <w:szCs w:val="18"/>
                <w:color w:val="auto"/>
                <w:w w:val="99"/>
              </w:rPr>
              <w:t>(Exact name of registrant as specified in its charter)</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70"/>
        </w:trPr>
        <w:tc>
          <w:tcPr>
            <w:tcW w:w="72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rPr>
              <w:t>Delaware</w:t>
            </w:r>
          </w:p>
        </w:tc>
        <w:tc>
          <w:tcPr>
            <w:tcW w:w="8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9"/>
              </w:rPr>
              <w:t>001-37883</w:t>
            </w:r>
          </w:p>
        </w:tc>
        <w:tc>
          <w:tcPr>
            <w:tcW w:w="2320" w:type="dxa"/>
            <w:vAlign w:val="bottom"/>
          </w:tcPr>
          <w:p>
            <w:pPr>
              <w:spacing w:after="0"/>
              <w:rPr>
                <w:sz w:val="23"/>
                <w:szCs w:val="23"/>
                <w:color w:val="auto"/>
              </w:rPr>
            </w:pPr>
          </w:p>
        </w:tc>
        <w:tc>
          <w:tcPr>
            <w:tcW w:w="172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w w:val="99"/>
              </w:rPr>
              <w:t>27-0989767</w:t>
            </w:r>
          </w:p>
        </w:tc>
      </w:tr>
      <w:tr>
        <w:trPr>
          <w:trHeight w:val="20"/>
        </w:trPr>
        <w:tc>
          <w:tcPr>
            <w:tcW w:w="7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45"/>
        </w:trPr>
        <w:tc>
          <w:tcPr>
            <w:tcW w:w="234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(State or other jurisdiction of</w:t>
            </w:r>
          </w:p>
        </w:tc>
        <w:tc>
          <w:tcPr>
            <w:tcW w:w="5300" w:type="dxa"/>
            <w:vAlign w:val="bottom"/>
            <w:gridSpan w:val="3"/>
          </w:tcPr>
          <w:p>
            <w:pPr>
              <w:jc w:val="center"/>
              <w:ind w:right="200"/>
              <w:spacing w:after="0"/>
              <w:rPr>
                <w:sz w:val="20"/>
                <w:szCs w:val="20"/>
                <w:color w:val="auto"/>
              </w:rPr>
            </w:pPr>
            <w:r>
              <w:rPr>
                <w:rFonts w:ascii="Arial" w:cs="Arial" w:eastAsia="Arial" w:hAnsi="Arial"/>
                <w:sz w:val="18"/>
                <w:szCs w:val="18"/>
                <w:color w:val="auto"/>
                <w:w w:val="99"/>
              </w:rPr>
              <w:t>(Commission File Number)</w:t>
            </w:r>
          </w:p>
        </w:tc>
        <w:tc>
          <w:tcPr>
            <w:tcW w:w="1720" w:type="dxa"/>
            <w:vAlign w:val="bottom"/>
            <w:gridSpan w:val="3"/>
          </w:tcPr>
          <w:p>
            <w:pPr>
              <w:jc w:val="center"/>
              <w:ind w:left="210"/>
              <w:spacing w:after="0"/>
              <w:rPr>
                <w:sz w:val="20"/>
                <w:szCs w:val="20"/>
                <w:color w:val="auto"/>
              </w:rPr>
            </w:pPr>
            <w:r>
              <w:rPr>
                <w:rFonts w:ascii="Arial" w:cs="Arial" w:eastAsia="Arial" w:hAnsi="Arial"/>
                <w:sz w:val="18"/>
                <w:szCs w:val="18"/>
                <w:color w:val="auto"/>
              </w:rPr>
              <w:t>(IRS Employer</w:t>
            </w:r>
          </w:p>
        </w:tc>
      </w:tr>
      <w:tr>
        <w:trPr>
          <w:trHeight w:val="229"/>
        </w:trPr>
        <w:tc>
          <w:tcPr>
            <w:tcW w:w="2340" w:type="dxa"/>
            <w:vAlign w:val="bottom"/>
            <w:gridSpan w:val="3"/>
          </w:tcPr>
          <w:p>
            <w:pPr>
              <w:jc w:val="center"/>
              <w:ind w:right="80"/>
              <w:spacing w:after="0"/>
              <w:rPr>
                <w:sz w:val="20"/>
                <w:szCs w:val="20"/>
                <w:color w:val="auto"/>
              </w:rPr>
            </w:pPr>
            <w:r>
              <w:rPr>
                <w:rFonts w:ascii="Arial" w:cs="Arial" w:eastAsia="Arial" w:hAnsi="Arial"/>
                <w:sz w:val="18"/>
                <w:szCs w:val="18"/>
                <w:color w:val="auto"/>
                <w:w w:val="99"/>
              </w:rPr>
              <w:t>incorporation)</w:t>
            </w:r>
          </w:p>
        </w:tc>
        <w:tc>
          <w:tcPr>
            <w:tcW w:w="2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720" w:type="dxa"/>
            <w:vAlign w:val="bottom"/>
            <w:gridSpan w:val="3"/>
          </w:tcPr>
          <w:p>
            <w:pPr>
              <w:jc w:val="center"/>
              <w:ind w:left="230"/>
              <w:spacing w:after="0"/>
              <w:rPr>
                <w:sz w:val="20"/>
                <w:szCs w:val="20"/>
                <w:color w:val="auto"/>
              </w:rPr>
            </w:pPr>
            <w:r>
              <w:rPr>
                <w:rFonts w:ascii="Arial" w:cs="Arial" w:eastAsia="Arial" w:hAnsi="Arial"/>
                <w:sz w:val="18"/>
                <w:szCs w:val="18"/>
                <w:color w:val="auto"/>
                <w:w w:val="99"/>
              </w:rPr>
              <w:t>Identification No.)</w:t>
            </w:r>
          </w:p>
        </w:tc>
      </w:tr>
      <w:tr>
        <w:trPr>
          <w:trHeight w:val="527"/>
        </w:trPr>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3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9"/>
              </w:rPr>
              <w:t>1740 Technology Drive, Suite 150</w:t>
            </w: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57"/>
        </w:trPr>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3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rPr>
              <w:t>San Jose, California 95110</w:t>
            </w: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70"/>
        </w:trPr>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300" w:type="dxa"/>
            <w:vAlign w:val="bottom"/>
            <w:gridSpan w:val="3"/>
          </w:tcPr>
          <w:p>
            <w:pPr>
              <w:jc w:val="center"/>
              <w:ind w:right="220"/>
              <w:spacing w:after="0"/>
              <w:rPr>
                <w:sz w:val="20"/>
                <w:szCs w:val="20"/>
                <w:color w:val="auto"/>
              </w:rPr>
            </w:pPr>
            <w:r>
              <w:rPr>
                <w:rFonts w:ascii="Arial" w:cs="Arial" w:eastAsia="Arial" w:hAnsi="Arial"/>
                <w:sz w:val="18"/>
                <w:szCs w:val="18"/>
                <w:color w:val="auto"/>
                <w:w w:val="99"/>
              </w:rPr>
              <w:t>(Address of principal executive offices, including zip code)</w:t>
            </w:r>
          </w:p>
        </w:tc>
        <w:tc>
          <w:tcPr>
            <w:tcW w:w="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527"/>
        </w:trPr>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3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rPr>
              <w:t>(408) 216-8360</w:t>
            </w: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70"/>
        </w:trPr>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300" w:type="dxa"/>
            <w:vAlign w:val="bottom"/>
            <w:gridSpan w:val="3"/>
          </w:tcPr>
          <w:p>
            <w:pPr>
              <w:jc w:val="center"/>
              <w:ind w:right="200"/>
              <w:spacing w:after="0"/>
              <w:rPr>
                <w:sz w:val="20"/>
                <w:szCs w:val="20"/>
                <w:color w:val="auto"/>
              </w:rPr>
            </w:pPr>
            <w:r>
              <w:rPr>
                <w:rFonts w:ascii="Arial" w:cs="Arial" w:eastAsia="Arial" w:hAnsi="Arial"/>
                <w:sz w:val="18"/>
                <w:szCs w:val="18"/>
                <w:color w:val="auto"/>
                <w:w w:val="99"/>
              </w:rPr>
              <w:t>(Registrant’s telephone number, including area code)</w:t>
            </w:r>
          </w:p>
        </w:tc>
        <w:tc>
          <w:tcPr>
            <w:tcW w:w="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526"/>
        </w:trPr>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3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9"/>
              </w:rPr>
              <w:t>Not Applicable</w:t>
            </w: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70"/>
        </w:trPr>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300" w:type="dxa"/>
            <w:vAlign w:val="bottom"/>
            <w:gridSpan w:val="3"/>
          </w:tcPr>
          <w:p>
            <w:pPr>
              <w:jc w:val="center"/>
              <w:ind w:right="220"/>
              <w:spacing w:after="0"/>
              <w:rPr>
                <w:sz w:val="20"/>
                <w:szCs w:val="20"/>
                <w:color w:val="auto"/>
              </w:rPr>
            </w:pPr>
            <w:r>
              <w:rPr>
                <w:rFonts w:ascii="Arial" w:cs="Arial" w:eastAsia="Arial" w:hAnsi="Arial"/>
                <w:sz w:val="18"/>
                <w:szCs w:val="18"/>
                <w:color w:val="auto"/>
                <w:w w:val="99"/>
              </w:rPr>
              <w:t>(Former name or former address, if changed since last report)</w:t>
            </w:r>
          </w:p>
        </w:tc>
        <w:tc>
          <w:tcPr>
            <w:tcW w:w="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r>
    </w:tbl>
    <w:p>
      <w:pPr>
        <w:spacing w:after="0" w:line="299" w:lineRule="exact"/>
        <w:rPr>
          <w:sz w:val="24"/>
          <w:szCs w:val="24"/>
          <w:color w:val="auto"/>
        </w:rPr>
      </w:pPr>
    </w:p>
    <w:p>
      <w:pPr>
        <w:ind w:right="300"/>
        <w:spacing w:after="0" w:line="278"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27" w:lineRule="exact"/>
        <w:rPr>
          <w:sz w:val="24"/>
          <w:szCs w:val="24"/>
          <w:color w:val="auto"/>
        </w:rPr>
      </w:pPr>
    </w:p>
    <w:p>
      <w:pPr>
        <w:ind w:left="480" w:hanging="191"/>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5" w:lineRule="exact"/>
        <w:rPr>
          <w:rFonts w:ascii="MS PGothic" w:cs="MS PGothic" w:eastAsia="MS PGothic" w:hAnsi="MS PGothic"/>
          <w:sz w:val="16"/>
          <w:szCs w:val="16"/>
          <w:color w:val="auto"/>
        </w:rPr>
      </w:pPr>
    </w:p>
    <w:p>
      <w:pPr>
        <w:ind w:left="480" w:hanging="191"/>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480" w:hanging="191"/>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480" w:hanging="191"/>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34"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40"/>
          </w:cols>
          <w:pgMar w:left="320" w:top="491" w:right="339" w:bottom="1440" w:gutter="0" w:footer="0" w:header="0"/>
        </w:sectPr>
      </w:pPr>
    </w:p>
    <w:p>
      <w:pPr>
        <w:spacing w:after="0" w:line="235" w:lineRule="exact"/>
        <w:rPr>
          <w:sz w:val="24"/>
          <w:szCs w:val="24"/>
          <w:color w:val="auto"/>
        </w:rPr>
      </w:pPr>
    </w:p>
    <w:p>
      <w:pPr>
        <w:ind w:left="1420"/>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200" w:lineRule="exact"/>
        <w:rPr>
          <w:sz w:val="24"/>
          <w:szCs w:val="24"/>
          <w:color w:val="auto"/>
        </w:rPr>
      </w:pPr>
    </w:p>
    <w:p>
      <w:pPr>
        <w:sectPr>
          <w:pgSz w:w="11900" w:h="16838" w:orient="portrait"/>
          <w:cols w:equalWidth="0" w:num="3">
            <w:col w:w="4240" w:space="720"/>
            <w:col w:w="1780" w:space="720"/>
            <w:col w:w="3780"/>
          </w:cols>
          <w:pgMar w:left="320" w:top="491" w:right="339" w:bottom="1440" w:gutter="0" w:footer="0" w:header="0"/>
          <w:type w:val="continuous"/>
        </w:sectPr>
      </w:pPr>
    </w:p>
    <w:p>
      <w:pPr>
        <w:spacing w:after="0" w:line="1" w:lineRule="exact"/>
        <w:rPr>
          <w:sz w:val="24"/>
          <w:szCs w:val="24"/>
          <w:color w:val="auto"/>
        </w:rPr>
      </w:pPr>
    </w:p>
    <w:p>
      <w:pPr>
        <w:ind w:left="80"/>
        <w:spacing w:after="0"/>
        <w:rPr>
          <w:sz w:val="20"/>
          <w:szCs w:val="20"/>
          <w:color w:val="auto"/>
        </w:rPr>
      </w:pPr>
      <w:r>
        <w:rPr>
          <w:rFonts w:ascii="Arial" w:cs="Arial" w:eastAsia="Arial" w:hAnsi="Arial"/>
          <w:sz w:val="16"/>
          <w:szCs w:val="16"/>
          <w:color w:val="auto"/>
        </w:rPr>
        <w:t>Class A Common Stock, $0.000025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NTNX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The Nasdaq Global Select Market</w:t>
      </w:r>
    </w:p>
    <w:p>
      <w:pPr>
        <w:spacing w:after="0" w:line="200" w:lineRule="exact"/>
        <w:rPr>
          <w:sz w:val="24"/>
          <w:szCs w:val="24"/>
          <w:color w:val="auto"/>
        </w:rPr>
      </w:pPr>
    </w:p>
    <w:p>
      <w:pPr>
        <w:sectPr>
          <w:pgSz w:w="11900" w:h="16838" w:orient="portrait"/>
          <w:cols w:equalWidth="0" w:num="3">
            <w:col w:w="4700" w:space="720"/>
            <w:col w:w="1800" w:space="720"/>
            <w:col w:w="3300"/>
          </w:cols>
          <w:pgMar w:left="320" w:top="491" w:right="339" w:bottom="1440" w:gutter="0" w:footer="0" w:header="0"/>
          <w:type w:val="continuous"/>
        </w:sectPr>
      </w:pPr>
    </w:p>
    <w:p>
      <w:pPr>
        <w:spacing w:after="0" w:line="224" w:lineRule="exact"/>
        <w:rPr>
          <w:sz w:val="24"/>
          <w:szCs w:val="24"/>
          <w:color w:val="auto"/>
        </w:rPr>
      </w:pPr>
    </w:p>
    <w:p>
      <w:pPr>
        <w:spacing w:after="0" w:line="26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000"/>
        <w:spacing w:after="0" w:line="184" w:lineRule="exact"/>
        <w:tabs>
          <w:tab w:leader="none" w:pos="824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357" w:lineRule="exact"/>
        <w:rPr>
          <w:sz w:val="24"/>
          <w:szCs w:val="24"/>
          <w:color w:val="auto"/>
        </w:rPr>
      </w:pPr>
    </w:p>
    <w:p>
      <w:pPr>
        <w:ind w:right="14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246380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1"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3.03. Material Modification to Rights of Security Holders.</w:t>
      </w:r>
    </w:p>
    <w:p>
      <w:pPr>
        <w:spacing w:after="0" w:line="220" w:lineRule="exact"/>
        <w:rPr>
          <w:sz w:val="20"/>
          <w:szCs w:val="20"/>
          <w:color w:val="auto"/>
        </w:rPr>
      </w:pPr>
    </w:p>
    <w:p>
      <w:pPr>
        <w:ind w:right="100" w:firstLine="599"/>
        <w:spacing w:after="0" w:line="269" w:lineRule="auto"/>
        <w:rPr>
          <w:sz w:val="20"/>
          <w:szCs w:val="20"/>
          <w:color w:val="auto"/>
        </w:rPr>
      </w:pPr>
      <w:r>
        <w:rPr>
          <w:rFonts w:ascii="Arial" w:cs="Arial" w:eastAsia="Arial" w:hAnsi="Arial"/>
          <w:sz w:val="18"/>
          <w:szCs w:val="18"/>
          <w:color w:val="auto"/>
        </w:rPr>
        <w:t>On January 3, 2022, all outstanding shares of Class B common stock, par value $0.000025 per share (the “Class B common stock”), of Nutanix, Inc. (the “Company”) automatically converted into the same number of shares of the Company’s Class A common stock, par value $0.000025 per share (the “Class A common stock”), pursuant to the terms of the Company’s Amended and Restated Certificate of Incorporation (the “Certificate of Incorporation”). No additional shares of Class B common stock will be issued following such conversion.</w:t>
      </w:r>
    </w:p>
    <w:p>
      <w:pPr>
        <w:spacing w:after="0" w:line="125" w:lineRule="exact"/>
        <w:rPr>
          <w:sz w:val="20"/>
          <w:szCs w:val="20"/>
          <w:color w:val="auto"/>
        </w:rPr>
      </w:pPr>
    </w:p>
    <w:p>
      <w:pPr>
        <w:ind w:right="20" w:firstLine="599"/>
        <w:spacing w:after="0" w:line="268" w:lineRule="auto"/>
        <w:rPr>
          <w:sz w:val="20"/>
          <w:szCs w:val="20"/>
          <w:color w:val="auto"/>
        </w:rPr>
      </w:pPr>
      <w:r>
        <w:rPr>
          <w:rFonts w:ascii="Arial" w:cs="Arial" w:eastAsia="Arial" w:hAnsi="Arial"/>
          <w:sz w:val="18"/>
          <w:szCs w:val="18"/>
          <w:color w:val="auto"/>
        </w:rPr>
        <w:t>The conversion occurred pursuant to Article IV, Section 4.3(c)(2)(A) of the Certificate of Incorporation, which provides that each share of Class B common stock will automatically, without any further action, convert into one share of Class A common stock upon the date specified by the affirmative vote of the holders of at least sixty-seven percent of the outstanding shares of Class B common stock, voting as a single class. Holders of at least sixty-seven percent of the outstanding shares of Class B common stock acted by written consent in lieu of a meeting to affirmatively vote for such conversion effective as of January 3, 2022 at 12:01 a.m., New York City time. Following the conversion, the Class A common stock continues to be listed on the Nasdaq Global Select Market under the ticker symbol “NTNX” and maintains the same CUSIP number previously assigned to the Class A common stock.</w:t>
      </w:r>
    </w:p>
    <w:p>
      <w:pPr>
        <w:spacing w:after="0" w:line="137" w:lineRule="exact"/>
        <w:rPr>
          <w:sz w:val="20"/>
          <w:szCs w:val="20"/>
          <w:color w:val="auto"/>
        </w:rPr>
      </w:pPr>
    </w:p>
    <w:p>
      <w:pPr>
        <w:ind w:right="100" w:firstLine="599"/>
        <w:spacing w:after="0" w:line="268" w:lineRule="auto"/>
        <w:rPr>
          <w:sz w:val="20"/>
          <w:szCs w:val="20"/>
          <w:color w:val="auto"/>
        </w:rPr>
      </w:pPr>
      <w:r>
        <w:rPr>
          <w:rFonts w:ascii="Arial" w:cs="Arial" w:eastAsia="Arial" w:hAnsi="Arial"/>
          <w:sz w:val="18"/>
          <w:szCs w:val="18"/>
          <w:color w:val="auto"/>
        </w:rPr>
        <w:t>In addition, in accordance with Article IV, Section 4.3(f) of the Certificate of Incorporation, and as required by Section 243 of the General Corporation Law of the State of Delaware (the “DGCL”), on January 4, 2022, the Company filed a certificate with the Secretary of State of the State of Delaware effecting the retirement of the shares of Class B common stock that were issued but no longer outstanding following the conversion (the “Certificate of Retirement”). Pursuant to Section 243 of the DGCL, the filing of the Certificate of Retirement had the effect of amending the Certificate of Incorporation such that, upon the effectiveness of the filing of the Certificate of Retirement, the Company’s total number of authorized shares of capital stock has been reduced by the number of retired shares of Class B common stock.</w:t>
      </w:r>
    </w:p>
    <w:p>
      <w:pPr>
        <w:spacing w:after="0" w:line="13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conversion had the following effects, among others, on the holders of shares of Class B common stock:</w:t>
      </w:r>
    </w:p>
    <w:p>
      <w:pPr>
        <w:spacing w:after="0" w:line="140" w:lineRule="exact"/>
        <w:rPr>
          <w:sz w:val="20"/>
          <w:szCs w:val="20"/>
          <w:color w:val="auto"/>
        </w:rPr>
      </w:pPr>
    </w:p>
    <w:p>
      <w:pPr>
        <w:ind w:right="40" w:firstLine="599"/>
        <w:spacing w:after="0" w:line="271" w:lineRule="auto"/>
        <w:rPr>
          <w:sz w:val="20"/>
          <w:szCs w:val="20"/>
          <w:color w:val="auto"/>
        </w:rPr>
      </w:pPr>
      <w:r>
        <w:rPr>
          <w:rFonts w:ascii="Arial" w:cs="Arial" w:eastAsia="Arial" w:hAnsi="Arial"/>
          <w:sz w:val="18"/>
          <w:szCs w:val="18"/>
          <w:i w:val="1"/>
          <w:iCs w:val="1"/>
          <w:color w:val="auto"/>
        </w:rPr>
        <w:t>Voting Power</w:t>
      </w:r>
      <w:r>
        <w:rPr>
          <w:rFonts w:ascii="Arial" w:cs="Arial" w:eastAsia="Arial" w:hAnsi="Arial"/>
          <w:sz w:val="18"/>
          <w:szCs w:val="18"/>
          <w:color w:val="auto"/>
        </w:rPr>
        <w:t>. Prior to the conversion, holders of shares of Class B common stock were entitled to cast ten votes for each such share</w:t>
      </w:r>
      <w:r>
        <w:rPr>
          <w:rFonts w:ascii="Arial" w:cs="Arial" w:eastAsia="Arial" w:hAnsi="Arial"/>
          <w:sz w:val="18"/>
          <w:szCs w:val="18"/>
          <w:i w:val="1"/>
          <w:iCs w:val="1"/>
          <w:color w:val="auto"/>
        </w:rPr>
        <w:t xml:space="preserve"> </w:t>
      </w:r>
      <w:r>
        <w:rPr>
          <w:rFonts w:ascii="Arial" w:cs="Arial" w:eastAsia="Arial" w:hAnsi="Arial"/>
          <w:sz w:val="18"/>
          <w:szCs w:val="18"/>
          <w:color w:val="auto"/>
        </w:rPr>
        <w:t>held by them on any matter submitted to a vote of the Company’s stockholders on which the holders of Class B common stock are entitled to vote. As a result of the conversion, all former holders of shares of Class B common stock are now holders of shares of Class A common stock, which is entitled to one vote per share on any matter submitted to a vote of the Company’s stockholders on which the holders of Class A common stock are entitled to vote. In addition, the provisions of the Certificate of Incorporation and Delaware law that entitled the holders of shares of Class A common stock and Class B common stock, in certain circumstances, to separate class voting rights are no longer applicable as a result of the conversion.</w:t>
      </w:r>
    </w:p>
    <w:p>
      <w:pPr>
        <w:spacing w:after="0" w:line="119" w:lineRule="exact"/>
        <w:rPr>
          <w:sz w:val="20"/>
          <w:szCs w:val="20"/>
          <w:color w:val="auto"/>
        </w:rPr>
      </w:pPr>
    </w:p>
    <w:p>
      <w:pPr>
        <w:ind w:right="40" w:firstLine="599"/>
        <w:spacing w:after="0" w:line="282" w:lineRule="auto"/>
        <w:rPr>
          <w:sz w:val="20"/>
          <w:szCs w:val="20"/>
          <w:color w:val="auto"/>
        </w:rPr>
      </w:pPr>
      <w:r>
        <w:rPr>
          <w:rFonts w:ascii="Arial" w:cs="Arial" w:eastAsia="Arial" w:hAnsi="Arial"/>
          <w:sz w:val="18"/>
          <w:szCs w:val="18"/>
          <w:i w:val="1"/>
          <w:iCs w:val="1"/>
          <w:color w:val="auto"/>
        </w:rPr>
        <w:t>Economic Interests</w:t>
      </w:r>
      <w:r>
        <w:rPr>
          <w:rFonts w:ascii="Arial" w:cs="Arial" w:eastAsia="Arial" w:hAnsi="Arial"/>
          <w:sz w:val="18"/>
          <w:szCs w:val="18"/>
          <w:color w:val="auto"/>
        </w:rPr>
        <w:t>. Because holders of shares of Class A common stock are entitled to the same economic interests to which former</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shares of Class B common stock were entitled before the conversion, the conversion had no impact on the economic interests of former holders of shares of Class B common stock.</w:t>
      </w:r>
    </w:p>
    <w:p>
      <w:pPr>
        <w:spacing w:after="0" w:line="107" w:lineRule="exact"/>
        <w:rPr>
          <w:sz w:val="20"/>
          <w:szCs w:val="20"/>
          <w:color w:val="auto"/>
        </w:rPr>
      </w:pPr>
    </w:p>
    <w:p>
      <w:pPr>
        <w:ind w:firstLine="599"/>
        <w:spacing w:after="0" w:line="298" w:lineRule="auto"/>
        <w:rPr>
          <w:sz w:val="20"/>
          <w:szCs w:val="20"/>
          <w:color w:val="auto"/>
        </w:rPr>
      </w:pPr>
      <w:r>
        <w:rPr>
          <w:rFonts w:ascii="Arial" w:cs="Arial" w:eastAsia="Arial" w:hAnsi="Arial"/>
          <w:sz w:val="18"/>
          <w:szCs w:val="18"/>
          <w:i w:val="1"/>
          <w:iCs w:val="1"/>
          <w:color w:val="auto"/>
        </w:rPr>
        <w:t>Capitalization</w:t>
      </w:r>
      <w:r>
        <w:rPr>
          <w:rFonts w:ascii="Arial" w:cs="Arial" w:eastAsia="Arial" w:hAnsi="Arial"/>
          <w:sz w:val="18"/>
          <w:szCs w:val="18"/>
          <w:color w:val="auto"/>
        </w:rPr>
        <w:t>. The conversion had no impact on the total number of the Company’s outstanding shares of capital stock, as the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Class B common stock converted into an equivalent number of shares of Class A common stock.</w:t>
      </w:r>
    </w:p>
    <w:p>
      <w:pPr>
        <w:spacing w:after="0" w:line="80" w:lineRule="exact"/>
        <w:rPr>
          <w:sz w:val="20"/>
          <w:szCs w:val="20"/>
          <w:color w:val="auto"/>
        </w:rPr>
      </w:pPr>
    </w:p>
    <w:p>
      <w:pPr>
        <w:ind w:right="320" w:firstLine="599"/>
        <w:spacing w:after="0" w:line="282" w:lineRule="auto"/>
        <w:rPr>
          <w:sz w:val="20"/>
          <w:szCs w:val="20"/>
          <w:color w:val="auto"/>
        </w:rPr>
      </w:pPr>
      <w:r>
        <w:rPr>
          <w:rFonts w:ascii="Arial" w:cs="Arial" w:eastAsia="Arial" w:hAnsi="Arial"/>
          <w:sz w:val="18"/>
          <w:szCs w:val="18"/>
          <w:i w:val="1"/>
          <w:iCs w:val="1"/>
          <w:color w:val="auto"/>
        </w:rPr>
        <w:t>Equity Incentive Plans</w:t>
      </w:r>
      <w:r>
        <w:rPr>
          <w:rFonts w:ascii="Arial" w:cs="Arial" w:eastAsia="Arial" w:hAnsi="Arial"/>
          <w:sz w:val="18"/>
          <w:szCs w:val="18"/>
          <w:color w:val="auto"/>
        </w:rPr>
        <w:t>. Upon the conversion, outstanding options that were previously denominated in shares of Class B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and issued under the Company’s equity incentive plans remained unchanged, except that they now represent the right to receive shares of Class A common stock.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193" w:lineRule="exact"/>
        <w:rPr>
          <w:sz w:val="20"/>
          <w:szCs w:val="20"/>
          <w:color w:val="auto"/>
        </w:rPr>
      </w:pPr>
    </w:p>
    <w:p>
      <w:pPr>
        <w:ind w:right="140" w:firstLine="599"/>
        <w:spacing w:after="0" w:line="277" w:lineRule="auto"/>
        <w:rPr>
          <w:sz w:val="20"/>
          <w:szCs w:val="20"/>
          <w:color w:val="auto"/>
        </w:rPr>
      </w:pPr>
      <w:r>
        <w:rPr>
          <w:rFonts w:ascii="Arial" w:cs="Arial" w:eastAsia="Arial" w:hAnsi="Arial"/>
          <w:sz w:val="18"/>
          <w:szCs w:val="18"/>
          <w:color w:val="auto"/>
        </w:rPr>
        <w:t>As described under Item 3.03, on January 4, 2022, the Company filed the Certificate of Retirement with the Secretary of State of the State of Delaware to retire the shares of Class B common stock that were issued but no longer outstanding following the conversion.</w:t>
      </w:r>
    </w:p>
    <w:p>
      <w:pPr>
        <w:spacing w:after="0" w:line="116" w:lineRule="exact"/>
        <w:rPr>
          <w:sz w:val="20"/>
          <w:szCs w:val="20"/>
          <w:color w:val="auto"/>
        </w:rPr>
      </w:pPr>
    </w:p>
    <w:p>
      <w:pPr>
        <w:ind w:firstLine="599"/>
        <w:spacing w:after="0" w:line="271" w:lineRule="auto"/>
        <w:rPr>
          <w:sz w:val="20"/>
          <w:szCs w:val="20"/>
          <w:color w:val="auto"/>
        </w:rPr>
      </w:pPr>
      <w:r>
        <w:rPr>
          <w:rFonts w:ascii="Arial" w:cs="Arial" w:eastAsia="Arial" w:hAnsi="Arial"/>
          <w:sz w:val="18"/>
          <w:szCs w:val="18"/>
          <w:color w:val="auto"/>
        </w:rPr>
        <w:t>The foregoing description of the Certificate of Retirement is a summary only and is qualified in its entirety by reference to the full text of (i) the Certificate of Retirement, a copy of which is attached as Exhibit 3.1 hereto, and (ii) the Certificate of Incorporation, a copy of which is incorporated by reference herein as Exhibit 3.2 hereto, and both of which are incorporated by reference into this Item 5.03.</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information contained in Item 3.03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193" w:lineRule="exact"/>
        <w:rPr>
          <w:sz w:val="20"/>
          <w:szCs w:val="20"/>
          <w:color w:val="auto"/>
        </w:rPr>
      </w:pPr>
    </w:p>
    <w:p>
      <w:pPr>
        <w:ind w:right="380" w:firstLine="599"/>
        <w:spacing w:after="0" w:line="277" w:lineRule="auto"/>
        <w:rPr>
          <w:sz w:val="20"/>
          <w:szCs w:val="20"/>
          <w:color w:val="auto"/>
        </w:rPr>
      </w:pPr>
      <w:r>
        <w:rPr>
          <w:rFonts w:ascii="Arial" w:cs="Arial" w:eastAsia="Arial" w:hAnsi="Arial"/>
          <w:sz w:val="18"/>
          <w:szCs w:val="18"/>
          <w:color w:val="auto"/>
        </w:rPr>
        <w:t>On January 4, 2022, the Company issued a press release announcing the conversion. A copy of the press release is attached as Exhibit 99.1 hereto and is incorporated herein by reference.</w:t>
      </w:r>
    </w:p>
    <w:p>
      <w:pPr>
        <w:sectPr>
          <w:pgSz w:w="11900" w:h="16838" w:orient="portrait"/>
          <w:cols w:equalWidth="0" w:num="1">
            <w:col w:w="11220"/>
          </w:cols>
          <w:pgMar w:left="320" w:top="400" w:right="359" w:bottom="1440" w:gutter="0" w:footer="0" w:header="0"/>
        </w:sectPr>
      </w:pP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80" w:type="dxa"/>
            <w:vAlign w:val="bottom"/>
            <w:gridSpan w:val="7"/>
          </w:tcPr>
          <w:p>
            <w:pPr>
              <w:spacing w:after="0"/>
              <w:rPr>
                <w:sz w:val="20"/>
                <w:szCs w:val="20"/>
                <w:color w:val="auto"/>
              </w:rPr>
            </w:pPr>
            <w:r>
              <w:rPr>
                <w:rFonts w:ascii="Arial" w:cs="Arial" w:eastAsia="Arial" w:hAnsi="Arial"/>
                <w:sz w:val="18"/>
                <w:szCs w:val="18"/>
                <w:b w:val="1"/>
                <w:bCs w:val="1"/>
                <w:color w:val="auto"/>
              </w:rPr>
              <w:t>Exhibit Number</w:t>
            </w:r>
          </w:p>
        </w:tc>
        <w:tc>
          <w:tcPr>
            <w:tcW w:w="1060" w:type="dxa"/>
            <w:vAlign w:val="bottom"/>
          </w:tcPr>
          <w:p>
            <w:pPr>
              <w:spacing w:after="0"/>
              <w:rPr>
                <w:sz w:val="17"/>
                <w:szCs w:val="17"/>
                <w:color w:val="auto"/>
              </w:rPr>
            </w:pPr>
          </w:p>
        </w:tc>
        <w:tc>
          <w:tcPr>
            <w:tcW w:w="2200" w:type="dxa"/>
            <w:vAlign w:val="bottom"/>
            <w:gridSpan w:val="5"/>
          </w:tcPr>
          <w:p>
            <w:pPr>
              <w:ind w:left="180"/>
              <w:spacing w:after="0"/>
              <w:rPr>
                <w:sz w:val="20"/>
                <w:szCs w:val="20"/>
                <w:color w:val="auto"/>
              </w:rPr>
            </w:pPr>
            <w:r>
              <w:rPr>
                <w:rFonts w:ascii="Arial" w:cs="Arial" w:eastAsia="Arial" w:hAnsi="Arial"/>
                <w:sz w:val="18"/>
                <w:szCs w:val="18"/>
                <w:b w:val="1"/>
                <w:bCs w:val="1"/>
                <w:color w:val="auto"/>
              </w:rPr>
              <w:t>Exhibit Title</w:t>
            </w: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0000FF"/>
            </w:tcBorders>
          </w:tcPr>
          <w:p>
            <w:pPr>
              <w:jc w:val="center"/>
              <w:spacing w:after="0"/>
              <w:rPr>
                <w:rFonts w:ascii="Arial" w:cs="Arial" w:eastAsia="Arial" w:hAnsi="Arial"/>
                <w:sz w:val="18"/>
                <w:szCs w:val="18"/>
                <w:color w:val="0000FF"/>
                <w:w w:val="95"/>
              </w:rPr>
            </w:pPr>
            <w:hyperlink w:anchor="page5">
              <w:r>
                <w:rPr>
                  <w:rFonts w:ascii="Arial" w:cs="Arial" w:eastAsia="Arial" w:hAnsi="Arial"/>
                  <w:sz w:val="18"/>
                  <w:szCs w:val="18"/>
                  <w:color w:val="0000FF"/>
                  <w:w w:val="95"/>
                </w:rPr>
                <w:t>3.</w:t>
              </w:r>
              <w:r>
                <w:rPr>
                  <w:rFonts w:ascii="Arial" w:cs="Arial" w:eastAsia="Arial" w:hAnsi="Arial"/>
                  <w:sz w:val="18"/>
                  <w:szCs w:val="18"/>
                  <w:u w:val="single" w:color="auto"/>
                  <w:color w:val="0000FF"/>
                  <w:w w:val="95"/>
                </w:rPr>
                <w:t>1</w:t>
              </w:r>
            </w:hyperlink>
          </w:p>
        </w:tc>
        <w:tc>
          <w:tcPr>
            <w:tcW w:w="20" w:type="dxa"/>
            <w:vAlign w:val="bottom"/>
            <w:tcBorders>
              <w:bottom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60" w:type="dxa"/>
            <w:vAlign w:val="bottom"/>
            <w:gridSpan w:val="6"/>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Certificate of Retirement</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640" w:type="dxa"/>
            <w:vAlign w:val="bottom"/>
            <w:tcBorders>
              <w:bottom w:val="single" w:sz="8" w:color="0000FF"/>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bottom w:val="single" w:sz="8" w:color="0000FF"/>
            </w:tcBorders>
          </w:tcPr>
          <w:p>
            <w:pPr>
              <w:jc w:val="center"/>
              <w:spacing w:after="0"/>
              <w:rPr>
                <w:rFonts w:ascii="Arial" w:cs="Arial" w:eastAsia="Arial" w:hAnsi="Arial"/>
                <w:sz w:val="18"/>
                <w:szCs w:val="18"/>
                <w:color w:val="0000FF"/>
                <w:w w:val="95"/>
              </w:rPr>
            </w:pPr>
            <w:hyperlink r:id="rId10">
              <w:r>
                <w:rPr>
                  <w:rFonts w:ascii="Arial" w:cs="Arial" w:eastAsia="Arial" w:hAnsi="Arial"/>
                  <w:sz w:val="18"/>
                  <w:szCs w:val="18"/>
                  <w:color w:val="0000FF"/>
                  <w:w w:val="95"/>
                </w:rPr>
                <w:t>3.</w:t>
              </w:r>
              <w:r>
                <w:rPr>
                  <w:rFonts w:ascii="Arial" w:cs="Arial" w:eastAsia="Arial" w:hAnsi="Arial"/>
                  <w:sz w:val="18"/>
                  <w:szCs w:val="18"/>
                  <w:u w:val="single" w:color="auto"/>
                  <w:color w:val="0000FF"/>
                  <w:w w:val="95"/>
                </w:rPr>
                <w:t>2</w:t>
              </w:r>
            </w:hyperlink>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60" w:type="dxa"/>
            <w:vAlign w:val="bottom"/>
            <w:gridSpan w:val="6"/>
          </w:tcPr>
          <w:p>
            <w:pPr>
              <w:spacing w:after="0"/>
              <w:rPr>
                <w:rFonts w:ascii="Arial" w:cs="Arial" w:eastAsia="Arial" w:hAnsi="Arial"/>
                <w:sz w:val="18"/>
                <w:szCs w:val="18"/>
                <w:color w:val="0000FF"/>
              </w:rPr>
            </w:pPr>
            <w:hyperlink r:id="rId10">
              <w:r>
                <w:rPr>
                  <w:rFonts w:ascii="Arial" w:cs="Arial" w:eastAsia="Arial" w:hAnsi="Arial"/>
                  <w:sz w:val="18"/>
                  <w:szCs w:val="18"/>
                  <w:color w:val="0000FF"/>
                </w:rPr>
                <w:t>Amended and Restated Certificate of</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1700" w:type="dxa"/>
            <w:vAlign w:val="bottom"/>
            <w:tcBorders>
              <w:bottom w:val="single" w:sz="8" w:color="0000FF"/>
            </w:tcBorders>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60" w:type="dxa"/>
            <w:vAlign w:val="bottom"/>
            <w:gridSpan w:val="6"/>
          </w:tcPr>
          <w:p>
            <w:pPr>
              <w:spacing w:after="0" w:line="196" w:lineRule="exact"/>
              <w:rPr>
                <w:rFonts w:ascii="Arial" w:cs="Arial" w:eastAsia="Arial" w:hAnsi="Arial"/>
                <w:sz w:val="18"/>
                <w:szCs w:val="18"/>
                <w:color w:val="0000FF"/>
              </w:rPr>
            </w:pPr>
            <w:hyperlink r:id="rId10">
              <w:r>
                <w:rPr>
                  <w:rFonts w:ascii="Arial" w:cs="Arial" w:eastAsia="Arial" w:hAnsi="Arial"/>
                  <w:sz w:val="18"/>
                  <w:szCs w:val="18"/>
                  <w:color w:val="0000FF"/>
                </w:rPr>
                <w:t>Incorporation</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60" w:type="dxa"/>
            <w:vAlign w:val="bottom"/>
            <w:gridSpan w:val="4"/>
            <w:vMerge w:val="restart"/>
          </w:tcPr>
          <w:p>
            <w:pPr>
              <w:jc w:val="center"/>
              <w:spacing w:after="0"/>
              <w:rPr>
                <w:rFonts w:ascii="Arial" w:cs="Arial" w:eastAsia="Arial" w:hAnsi="Arial"/>
                <w:sz w:val="18"/>
                <w:szCs w:val="18"/>
                <w:color w:val="0000FF"/>
              </w:rPr>
            </w:pPr>
            <w:hyperlink w:anchor="page6">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480" w:type="dxa"/>
            <w:vAlign w:val="bottom"/>
          </w:tcPr>
          <w:p>
            <w:pPr>
              <w:spacing w:after="0"/>
              <w:rPr>
                <w:sz w:val="22"/>
                <w:szCs w:val="22"/>
                <w:color w:val="auto"/>
              </w:rPr>
            </w:pPr>
          </w:p>
        </w:tc>
        <w:tc>
          <w:tcPr>
            <w:tcW w:w="360" w:type="dxa"/>
            <w:vAlign w:val="bottom"/>
            <w:tcBorders>
              <w:bottom w:val="single" w:sz="8" w:color="0000FF"/>
            </w:tcBorders>
            <w:gridSpan w:val="4"/>
            <w:vMerge w:val="continue"/>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60" w:type="dxa"/>
            <w:vAlign w:val="bottom"/>
            <w:gridSpan w:val="6"/>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Press release issued by Nutanix, Inc. on</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bottom w:val="single" w:sz="8" w:color="0000FF"/>
            </w:tcBorders>
            <w:gridSpan w:val="2"/>
          </w:tcPr>
          <w:p>
            <w:pPr>
              <w:spacing w:after="0" w:line="20" w:lineRule="exact"/>
              <w:rPr>
                <w:sz w:val="1"/>
                <w:szCs w:val="1"/>
                <w:color w:val="auto"/>
              </w:rPr>
            </w:pPr>
          </w:p>
        </w:tc>
        <w:tc>
          <w:tcPr>
            <w:tcW w:w="1960" w:type="dxa"/>
            <w:vAlign w:val="bottom"/>
            <w:tcBorders>
              <w:bottom w:val="single" w:sz="8" w:color="0000FF"/>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60" w:type="dxa"/>
            <w:vAlign w:val="bottom"/>
            <w:gridSpan w:val="6"/>
          </w:tcPr>
          <w:p>
            <w:pPr>
              <w:spacing w:after="0" w:line="196" w:lineRule="exact"/>
              <w:rPr>
                <w:rFonts w:ascii="Arial" w:cs="Arial" w:eastAsia="Arial" w:hAnsi="Arial"/>
                <w:sz w:val="18"/>
                <w:szCs w:val="18"/>
                <w:color w:val="0000FF"/>
              </w:rPr>
            </w:pPr>
            <w:hyperlink w:anchor="page6">
              <w:r>
                <w:rPr>
                  <w:rFonts w:ascii="Arial" w:cs="Arial" w:eastAsia="Arial" w:hAnsi="Arial"/>
                  <w:sz w:val="18"/>
                  <w:szCs w:val="18"/>
                  <w:color w:val="0000FF"/>
                </w:rPr>
                <w:t>January 4, 2022</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420" w:right="540" w:hanging="867"/>
        <w:spacing w:after="0" w:line="271" w:lineRule="auto"/>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20320</wp:posOffset>
            </wp:positionV>
            <wp:extent cx="39858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0" w:type="dxa"/>
            <w:vAlign w:val="bottom"/>
          </w:tcPr>
          <w:p>
            <w:pPr>
              <w:ind w:left="240"/>
              <w:spacing w:after="0"/>
              <w:rPr>
                <w:sz w:val="20"/>
                <w:szCs w:val="20"/>
                <w:color w:val="auto"/>
              </w:rPr>
            </w:pPr>
            <w:r>
              <w:rPr>
                <w:rFonts w:ascii="Arial" w:cs="Arial" w:eastAsia="Arial" w:hAnsi="Arial"/>
                <w:sz w:val="18"/>
                <w:szCs w:val="18"/>
                <w:b w:val="1"/>
                <w:bCs w:val="1"/>
                <w:color w:val="auto"/>
              </w:rPr>
              <w:t>Form</w:t>
            </w:r>
          </w:p>
        </w:tc>
        <w:tc>
          <w:tcPr>
            <w:tcW w:w="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rPr>
              <w:t>File No.</w:t>
            </w:r>
          </w:p>
        </w:tc>
        <w:tc>
          <w:tcPr>
            <w:tcW w:w="4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9"/>
              </w:rPr>
              <w:t>Filing</w:t>
            </w:r>
          </w:p>
        </w:tc>
        <w:tc>
          <w:tcPr>
            <w:tcW w:w="2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9"/>
              </w:rPr>
              <w:t>Filed</w:t>
            </w:r>
          </w:p>
        </w:tc>
      </w:tr>
      <w:tr>
        <w:trPr>
          <w:trHeight w:val="239"/>
        </w:trPr>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c>
          <w:tcPr>
            <w:tcW w:w="2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r>
      <w:tr>
        <w:trPr>
          <w:trHeight w:val="304"/>
        </w:trPr>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84"/>
        </w:trPr>
        <w:tc>
          <w:tcPr>
            <w:tcW w:w="920" w:type="dxa"/>
            <w:vAlign w:val="bottom"/>
          </w:tcPr>
          <w:p>
            <w:pPr>
              <w:ind w:left="260"/>
              <w:spacing w:after="0"/>
              <w:rPr>
                <w:sz w:val="20"/>
                <w:szCs w:val="20"/>
                <w:color w:val="auto"/>
              </w:rPr>
            </w:pPr>
            <w:r>
              <w:rPr>
                <w:rFonts w:ascii="Arial" w:cs="Arial" w:eastAsia="Arial" w:hAnsi="Arial"/>
                <w:sz w:val="18"/>
                <w:szCs w:val="18"/>
                <w:color w:val="auto"/>
              </w:rPr>
              <w:t>10-Q</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001-37883</w:t>
            </w:r>
          </w:p>
        </w:tc>
        <w:tc>
          <w:tcPr>
            <w:tcW w:w="1240" w:type="dxa"/>
            <w:vAlign w:val="bottom"/>
            <w:gridSpan w:val="2"/>
          </w:tcPr>
          <w:p>
            <w:pPr>
              <w:jc w:val="right"/>
              <w:ind w:right="390"/>
              <w:spacing w:after="0"/>
              <w:rPr>
                <w:sz w:val="20"/>
                <w:szCs w:val="20"/>
                <w:color w:val="auto"/>
              </w:rPr>
            </w:pPr>
            <w:r>
              <w:rPr>
                <w:rFonts w:ascii="Arial" w:cs="Arial" w:eastAsia="Arial" w:hAnsi="Arial"/>
                <w:sz w:val="18"/>
                <w:szCs w:val="18"/>
                <w:color w:val="auto"/>
              </w:rPr>
              <w:t>3.1</w:t>
            </w: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99"/>
              </w:rPr>
              <w:t>12/8/2016</w:t>
            </w: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702"/>
        </w:trPr>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621"/>
        </w:trPr>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579120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680" w:space="260"/>
            <w:col w:w="6280"/>
          </w:cols>
          <w:pgMar w:left="320" w:top="400" w:right="359" w:bottom="1440" w:gutter="0" w:footer="0" w:header="0"/>
          <w:type w:val="continuous"/>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44" w:lineRule="exact"/>
        <w:rPr>
          <w:sz w:val="20"/>
          <w:szCs w:val="20"/>
          <w:color w:val="auto"/>
        </w:rPr>
      </w:pPr>
    </w:p>
    <w:p>
      <w:pPr>
        <w:ind w:firstLine="59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NUTANIX, INC.</w:t>
      </w:r>
    </w:p>
    <w:p>
      <w:pPr>
        <w:spacing w:after="0" w:line="200" w:lineRule="exact"/>
        <w:rPr>
          <w:sz w:val="20"/>
          <w:szCs w:val="20"/>
          <w:color w:val="auto"/>
        </w:rPr>
      </w:pPr>
    </w:p>
    <w:p>
      <w:pPr>
        <w:spacing w:after="0" w:line="232" w:lineRule="exact"/>
        <w:rPr>
          <w:sz w:val="20"/>
          <w:szCs w:val="20"/>
          <w:color w:val="auto"/>
        </w:rPr>
      </w:pPr>
    </w:p>
    <w:p>
      <w:pPr>
        <w:ind w:left="100"/>
        <w:spacing w:after="0"/>
        <w:tabs>
          <w:tab w:leader="none" w:pos="7180" w:val="left"/>
        </w:tabs>
        <w:rPr>
          <w:sz w:val="20"/>
          <w:szCs w:val="20"/>
          <w:color w:val="auto"/>
        </w:rPr>
      </w:pPr>
      <w:r>
        <w:rPr>
          <w:rFonts w:ascii="Arial" w:cs="Arial" w:eastAsia="Arial" w:hAnsi="Arial"/>
          <w:sz w:val="18"/>
          <w:szCs w:val="18"/>
          <w:color w:val="auto"/>
        </w:rPr>
        <w:t>Date: January 4, 2022</w:t>
      </w:r>
      <w:r>
        <w:rPr>
          <w:sz w:val="20"/>
          <w:szCs w:val="20"/>
          <w:color w:val="auto"/>
        </w:rPr>
        <w:tab/>
      </w:r>
      <w:r>
        <w:rPr>
          <w:rFonts w:ascii="Arial" w:cs="Arial" w:eastAsia="Arial" w:hAnsi="Arial"/>
          <w:sz w:val="18"/>
          <w:szCs w:val="18"/>
          <w:color w:val="auto"/>
        </w:rPr>
        <w:t xml:space="preserve">By: </w:t>
      </w:r>
      <w:r>
        <w:rPr>
          <w:rFonts w:ascii="Arial" w:cs="Arial" w:eastAsia="Arial" w:hAnsi="Arial"/>
          <w:sz w:val="18"/>
          <w:szCs w:val="18"/>
          <w:i w:val="1"/>
          <w:iCs w:val="1"/>
          <w:u w:val="single" w:color="auto"/>
          <w:color w:val="auto"/>
        </w:rPr>
        <w:t>/s/ Duston M. Williams</w:t>
      </w:r>
    </w:p>
    <w:p>
      <w:pPr>
        <w:spacing w:after="0" w:line="14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Duston M. Williams</w:t>
      </w:r>
    </w:p>
    <w:p>
      <w:pPr>
        <w:spacing w:after="0" w:line="131"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481" w:right="6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3.1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CERTIFICATE OF RETIREMENT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 CLASS B 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NUTANIX, INC.</w:t>
      </w:r>
    </w:p>
    <w:p>
      <w:pPr>
        <w:spacing w:after="0" w:line="289" w:lineRule="exact"/>
        <w:rPr>
          <w:sz w:val="20"/>
          <w:szCs w:val="20"/>
          <w:color w:val="auto"/>
        </w:rPr>
      </w:pPr>
    </w:p>
    <w:p>
      <w:pPr>
        <w:ind w:firstLine="749"/>
        <w:spacing w:after="0" w:line="288" w:lineRule="auto"/>
        <w:rPr>
          <w:sz w:val="20"/>
          <w:szCs w:val="20"/>
          <w:color w:val="auto"/>
        </w:rPr>
      </w:pPr>
      <w:r>
        <w:rPr>
          <w:rFonts w:ascii="Arial" w:cs="Arial" w:eastAsia="Arial" w:hAnsi="Arial"/>
          <w:sz w:val="20"/>
          <w:szCs w:val="20"/>
          <w:color w:val="auto"/>
        </w:rPr>
        <w:t>Pursuant to Section 243(b) of the General Corporation Law of the State of Delaware, Nutanix, Inc., a corporation organized and existing under the laws of the State of Delaware (the “</w:t>
      </w:r>
      <w:r>
        <w:rPr>
          <w:rFonts w:ascii="Arial" w:cs="Arial" w:eastAsia="Arial" w:hAnsi="Arial"/>
          <w:sz w:val="20"/>
          <w:szCs w:val="20"/>
          <w:b w:val="1"/>
          <w:bCs w:val="1"/>
          <w:color w:val="auto"/>
        </w:rPr>
        <w:t>Corporation</w:t>
      </w:r>
      <w:r>
        <w:rPr>
          <w:rFonts w:ascii="Arial" w:cs="Arial" w:eastAsia="Arial" w:hAnsi="Arial"/>
          <w:sz w:val="20"/>
          <w:szCs w:val="20"/>
          <w:color w:val="auto"/>
        </w:rPr>
        <w:t>”), HEREBY CERTIFIES as follows:</w:t>
      </w:r>
    </w:p>
    <w:p>
      <w:pPr>
        <w:spacing w:after="0" w:line="177" w:lineRule="exact"/>
        <w:rPr>
          <w:sz w:val="20"/>
          <w:szCs w:val="20"/>
          <w:color w:val="auto"/>
        </w:rPr>
      </w:pPr>
    </w:p>
    <w:p>
      <w:pPr>
        <w:jc w:val="both"/>
        <w:ind w:firstLine="757"/>
        <w:spacing w:after="0" w:line="309" w:lineRule="auto"/>
        <w:tabs>
          <w:tab w:leader="none" w:pos="951"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Section 4.1 of Article IV of the Amended and Restated Certificate of Incorporation of the Corporation filed with the Secretary of State of the State of Delaware on October 5, 2016 (the “</w:t>
      </w:r>
      <w:r>
        <w:rPr>
          <w:rFonts w:ascii="Arial" w:cs="Arial" w:eastAsia="Arial" w:hAnsi="Arial"/>
          <w:sz w:val="18"/>
          <w:szCs w:val="18"/>
          <w:b w:val="1"/>
          <w:bCs w:val="1"/>
          <w:color w:val="auto"/>
        </w:rPr>
        <w:t>Amended and Restated Certificate</w:t>
      </w:r>
      <w:r>
        <w:rPr>
          <w:rFonts w:ascii="Arial" w:cs="Arial" w:eastAsia="Arial" w:hAnsi="Arial"/>
          <w:sz w:val="18"/>
          <w:szCs w:val="18"/>
          <w:color w:val="auto"/>
        </w:rPr>
        <w:t>”) provides that the total number of shares of capital stock that the Corporation shall have authority to issue is 1,400,000,000 shares, consisting of (i) 1,000,000,000 shares of Class A Common Stock, par value $0.000025 per share (“</w:t>
      </w:r>
      <w:r>
        <w:rPr>
          <w:rFonts w:ascii="Arial" w:cs="Arial" w:eastAsia="Arial" w:hAnsi="Arial"/>
          <w:sz w:val="18"/>
          <w:szCs w:val="18"/>
          <w:b w:val="1"/>
          <w:bCs w:val="1"/>
          <w:color w:val="auto"/>
        </w:rPr>
        <w:t>Class A Common Stock</w:t>
      </w:r>
      <w:r>
        <w:rPr>
          <w:rFonts w:ascii="Arial" w:cs="Arial" w:eastAsia="Arial" w:hAnsi="Arial"/>
          <w:sz w:val="18"/>
          <w:szCs w:val="18"/>
          <w:color w:val="auto"/>
        </w:rPr>
        <w:t>”), (ii) 200,000,000 shares of Class B Common Stock, par value $0.000025 per share (“</w:t>
      </w:r>
      <w:r>
        <w:rPr>
          <w:rFonts w:ascii="Arial" w:cs="Arial" w:eastAsia="Arial" w:hAnsi="Arial"/>
          <w:sz w:val="18"/>
          <w:szCs w:val="18"/>
          <w:b w:val="1"/>
          <w:bCs w:val="1"/>
          <w:color w:val="auto"/>
        </w:rPr>
        <w:t>Class B Common Stock</w:t>
      </w:r>
      <w:r>
        <w:rPr>
          <w:rFonts w:ascii="Arial" w:cs="Arial" w:eastAsia="Arial" w:hAnsi="Arial"/>
          <w:sz w:val="18"/>
          <w:szCs w:val="18"/>
          <w:color w:val="auto"/>
        </w:rPr>
        <w:t>”), and (iii) 200,000,000 shares of Preferred Stock, par value $0.000025 per share.</w:t>
      </w:r>
    </w:p>
    <w:p>
      <w:pPr>
        <w:spacing w:after="0" w:line="160" w:lineRule="exact"/>
        <w:rPr>
          <w:rFonts w:ascii="Arial" w:cs="Arial" w:eastAsia="Arial" w:hAnsi="Arial"/>
          <w:sz w:val="18"/>
          <w:szCs w:val="18"/>
          <w:color w:val="auto"/>
        </w:rPr>
      </w:pPr>
    </w:p>
    <w:p>
      <w:pPr>
        <w:ind w:firstLine="757"/>
        <w:spacing w:after="0" w:line="295" w:lineRule="auto"/>
        <w:tabs>
          <w:tab w:leader="none" w:pos="972" w:val="left"/>
        </w:tabs>
        <w:numPr>
          <w:ilvl w:val="0"/>
          <w:numId w:val="3"/>
        </w:numPr>
        <w:rPr>
          <w:rFonts w:ascii="Arial" w:cs="Arial" w:eastAsia="Arial" w:hAnsi="Arial"/>
          <w:sz w:val="20"/>
          <w:szCs w:val="20"/>
          <w:color w:val="auto"/>
        </w:rPr>
      </w:pPr>
      <w:r>
        <w:rPr>
          <w:rFonts w:ascii="Arial" w:cs="Arial" w:eastAsia="Arial" w:hAnsi="Arial"/>
          <w:sz w:val="20"/>
          <w:szCs w:val="20"/>
          <w:color w:val="auto"/>
        </w:rPr>
        <w:t>All outstanding shares of Class B Common Stock have been converted (the “</w:t>
      </w:r>
      <w:r>
        <w:rPr>
          <w:rFonts w:ascii="Arial" w:cs="Arial" w:eastAsia="Arial" w:hAnsi="Arial"/>
          <w:sz w:val="20"/>
          <w:szCs w:val="20"/>
          <w:b w:val="1"/>
          <w:bCs w:val="1"/>
          <w:color w:val="auto"/>
        </w:rPr>
        <w:t>Conversion</w:t>
      </w:r>
      <w:r>
        <w:rPr>
          <w:rFonts w:ascii="Arial" w:cs="Arial" w:eastAsia="Arial" w:hAnsi="Arial"/>
          <w:sz w:val="20"/>
          <w:szCs w:val="20"/>
          <w:color w:val="auto"/>
        </w:rPr>
        <w:t>”) into shares of Class A Common Stock of the Corporation pursuant to the provisions of Article IV of the Amended and Restated Certificate.</w:t>
      </w:r>
    </w:p>
    <w:p>
      <w:pPr>
        <w:spacing w:after="0" w:line="169" w:lineRule="exact"/>
        <w:rPr>
          <w:rFonts w:ascii="Arial" w:cs="Arial" w:eastAsia="Arial" w:hAnsi="Arial"/>
          <w:sz w:val="20"/>
          <w:szCs w:val="20"/>
          <w:color w:val="auto"/>
        </w:rPr>
      </w:pPr>
    </w:p>
    <w:p>
      <w:pPr>
        <w:ind w:firstLine="757"/>
        <w:spacing w:after="0" w:line="288" w:lineRule="auto"/>
        <w:tabs>
          <w:tab w:leader="none" w:pos="953" w:val="left"/>
        </w:tabs>
        <w:numPr>
          <w:ilvl w:val="0"/>
          <w:numId w:val="3"/>
        </w:numPr>
        <w:rPr>
          <w:rFonts w:ascii="Arial" w:cs="Arial" w:eastAsia="Arial" w:hAnsi="Arial"/>
          <w:sz w:val="20"/>
          <w:szCs w:val="20"/>
          <w:color w:val="auto"/>
        </w:rPr>
      </w:pPr>
      <w:r>
        <w:rPr>
          <w:rFonts w:ascii="Arial" w:cs="Arial" w:eastAsia="Arial" w:hAnsi="Arial"/>
          <w:sz w:val="20"/>
          <w:szCs w:val="20"/>
          <w:color w:val="auto"/>
        </w:rPr>
        <w:t>Section 4.3(f) of Article IV of the Amended and Restated Certificate provides that following the Conversion, the shares of Class B Common Stock that have been converted shall be retired and may not be reissued.</w:t>
      </w:r>
    </w:p>
    <w:p>
      <w:pPr>
        <w:spacing w:after="0" w:line="177" w:lineRule="exact"/>
        <w:rPr>
          <w:rFonts w:ascii="Arial" w:cs="Arial" w:eastAsia="Arial" w:hAnsi="Arial"/>
          <w:sz w:val="20"/>
          <w:szCs w:val="20"/>
          <w:color w:val="auto"/>
        </w:rPr>
      </w:pPr>
    </w:p>
    <w:p>
      <w:pPr>
        <w:ind w:firstLine="757"/>
        <w:spacing w:after="0" w:line="288" w:lineRule="auto"/>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Board of Directors of the Corporation has adopted resolutions retiring 157,996,115 shares of Class B Common Stock, constituting all of the shares of Class B Common Stock that were issued but not outstanding following the Conversion.</w:t>
      </w:r>
    </w:p>
    <w:p>
      <w:pPr>
        <w:spacing w:after="0" w:line="177" w:lineRule="exact"/>
        <w:rPr>
          <w:rFonts w:ascii="Arial" w:cs="Arial" w:eastAsia="Arial" w:hAnsi="Arial"/>
          <w:sz w:val="20"/>
          <w:szCs w:val="20"/>
          <w:color w:val="auto"/>
        </w:rPr>
      </w:pPr>
    </w:p>
    <w:p>
      <w:pPr>
        <w:jc w:val="both"/>
        <w:ind w:firstLine="757"/>
        <w:spacing w:after="0" w:line="293" w:lineRule="auto"/>
        <w:tabs>
          <w:tab w:leader="none" w:pos="969" w:val="left"/>
        </w:tabs>
        <w:numPr>
          <w:ilvl w:val="0"/>
          <w:numId w:val="3"/>
        </w:numPr>
        <w:rPr>
          <w:rFonts w:ascii="Arial" w:cs="Arial" w:eastAsia="Arial" w:hAnsi="Arial"/>
          <w:sz w:val="19"/>
          <w:szCs w:val="19"/>
          <w:color w:val="auto"/>
        </w:rPr>
      </w:pPr>
      <w:r>
        <w:rPr>
          <w:rFonts w:ascii="Arial" w:cs="Arial" w:eastAsia="Arial" w:hAnsi="Arial"/>
          <w:sz w:val="19"/>
          <w:szCs w:val="19"/>
          <w:color w:val="auto"/>
        </w:rPr>
        <w:t>Upon the effectiveness of this Certificate of Retirement, the Amended and Restated Certificate shall be amended so as to (a) reduce the total number of authorized shares of the capital stock of the Corporation by 157,996,115, such that the total number of authorized shares of the Corporation shall be 1,242,003,885, and (b) reduce the number of authorized shares of Class B Common Stock by 157,996,115, such that the number of authorized shares of Class B Common Stock shall be 42,003,885.</w:t>
      </w:r>
    </w:p>
    <w:p>
      <w:pPr>
        <w:spacing w:after="0" w:line="175" w:lineRule="exact"/>
        <w:rPr>
          <w:sz w:val="20"/>
          <w:szCs w:val="20"/>
          <w:color w:val="auto"/>
        </w:rPr>
      </w:pPr>
    </w:p>
    <w:p>
      <w:pPr>
        <w:ind w:firstLine="749"/>
        <w:spacing w:after="0" w:line="288" w:lineRule="auto"/>
        <w:rPr>
          <w:sz w:val="20"/>
          <w:szCs w:val="20"/>
          <w:color w:val="auto"/>
        </w:rPr>
      </w:pPr>
      <w:r>
        <w:rPr>
          <w:rFonts w:ascii="Arial" w:cs="Arial" w:eastAsia="Arial" w:hAnsi="Arial"/>
          <w:sz w:val="20"/>
          <w:szCs w:val="20"/>
          <w:color w:val="auto"/>
        </w:rPr>
        <w:t>IN WITNESS WHEREOF, Nutanix, Inc. has caused this Certificate of Retirement to be executed, acknowledged and filed by its duly authorized officer as of January 4, 2022.</w:t>
      </w:r>
    </w:p>
    <w:p>
      <w:pPr>
        <w:spacing w:after="0" w:line="200" w:lineRule="exact"/>
        <w:rPr>
          <w:sz w:val="20"/>
          <w:szCs w:val="20"/>
          <w:color w:val="auto"/>
        </w:rPr>
      </w:pPr>
    </w:p>
    <w:p>
      <w:pPr>
        <w:spacing w:after="0" w:line="241" w:lineRule="exact"/>
        <w:rPr>
          <w:sz w:val="20"/>
          <w:szCs w:val="20"/>
          <w:color w:val="auto"/>
        </w:rPr>
      </w:pPr>
    </w:p>
    <w:p>
      <w:pPr>
        <w:jc w:val="center"/>
        <w:ind w:right="360"/>
        <w:spacing w:after="0"/>
        <w:rPr>
          <w:sz w:val="20"/>
          <w:szCs w:val="20"/>
          <w:color w:val="auto"/>
        </w:rPr>
      </w:pPr>
      <w:r>
        <w:rPr>
          <w:rFonts w:ascii="Arial" w:cs="Arial" w:eastAsia="Arial" w:hAnsi="Arial"/>
          <w:sz w:val="20"/>
          <w:szCs w:val="20"/>
          <w:b w:val="1"/>
          <w:bCs w:val="1"/>
          <w:color w:val="auto"/>
        </w:rPr>
        <w:t>NUTANIX, INC.</w:t>
      </w:r>
    </w:p>
    <w:p>
      <w:pPr>
        <w:spacing w:after="0" w:line="316" w:lineRule="exact"/>
        <w:rPr>
          <w:sz w:val="20"/>
          <w:szCs w:val="20"/>
          <w:color w:val="auto"/>
        </w:rPr>
      </w:pPr>
    </w:p>
    <w:p>
      <w:pPr>
        <w:ind w:left="47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Rajiv Ramaswami</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20"/>
          <w:szCs w:val="20"/>
          <w:color w:val="auto"/>
        </w:rPr>
        <w:t>Name: Rajiv Ramaswami</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20"/>
          <w:szCs w:val="20"/>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511810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1988820" cy="5657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98882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Contact: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Rich Valera</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ir@nutanix.com</w:t>
      </w: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Jennifer Massaro</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pr@nutanix.com</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Nutanix Announces Elimination of Dual-Class Stock Structure</w:t>
      </w:r>
    </w:p>
    <w:p>
      <w:pPr>
        <w:spacing w:after="0" w:line="359" w:lineRule="exact"/>
        <w:rPr>
          <w:sz w:val="20"/>
          <w:szCs w:val="20"/>
          <w:color w:val="auto"/>
        </w:rPr>
      </w:pPr>
    </w:p>
    <w:p>
      <w:pPr>
        <w:jc w:val="center"/>
        <w:ind w:right="40"/>
        <w:spacing w:after="0" w:line="287" w:lineRule="auto"/>
        <w:rPr>
          <w:sz w:val="20"/>
          <w:szCs w:val="20"/>
          <w:color w:val="auto"/>
        </w:rPr>
      </w:pPr>
      <w:r>
        <w:rPr>
          <w:rFonts w:ascii="Arial" w:cs="Arial" w:eastAsia="Arial" w:hAnsi="Arial"/>
          <w:sz w:val="22"/>
          <w:szCs w:val="22"/>
          <w:b w:val="1"/>
          <w:bCs w:val="1"/>
          <w:i w:val="1"/>
          <w:iCs w:val="1"/>
          <w:color w:val="auto"/>
        </w:rPr>
        <w:t>Conversion of Class B Common Stock into Class A Common Stock Results in Single Class of Common Stock With Equal Voting Rights</w:t>
      </w:r>
    </w:p>
    <w:p>
      <w:pPr>
        <w:spacing w:after="0" w:line="205" w:lineRule="exact"/>
        <w:rPr>
          <w:sz w:val="20"/>
          <w:szCs w:val="20"/>
          <w:color w:val="auto"/>
        </w:rPr>
      </w:pPr>
    </w:p>
    <w:p>
      <w:pPr>
        <w:ind w:right="240"/>
        <w:spacing w:after="0" w:line="262" w:lineRule="auto"/>
        <w:rPr>
          <w:sz w:val="20"/>
          <w:szCs w:val="20"/>
          <w:color w:val="auto"/>
        </w:rPr>
      </w:pPr>
      <w:r>
        <w:rPr>
          <w:rFonts w:ascii="Arial" w:cs="Arial" w:eastAsia="Arial" w:hAnsi="Arial"/>
          <w:sz w:val="22"/>
          <w:szCs w:val="22"/>
          <w:b w:val="1"/>
          <w:bCs w:val="1"/>
          <w:color w:val="auto"/>
        </w:rPr>
        <w:t xml:space="preserve">SAN JOSE, CA. – January 4, 2022 </w:t>
      </w:r>
      <w:r>
        <w:rPr>
          <w:rFonts w:ascii="Arial" w:cs="Arial" w:eastAsia="Arial" w:hAnsi="Arial"/>
          <w:sz w:val="22"/>
          <w:szCs w:val="22"/>
          <w:color w:val="auto"/>
        </w:rPr>
        <w:t>– Nutanix (NASDAQ: NTNX), a leader in hybrid multicloud computing, today</w:t>
      </w:r>
      <w:r>
        <w:rPr>
          <w:rFonts w:ascii="Arial" w:cs="Arial" w:eastAsia="Arial" w:hAnsi="Arial"/>
          <w:sz w:val="22"/>
          <w:szCs w:val="22"/>
          <w:b w:val="1"/>
          <w:bCs w:val="1"/>
          <w:color w:val="auto"/>
        </w:rPr>
        <w:t xml:space="preserve"> </w:t>
      </w:r>
      <w:r>
        <w:rPr>
          <w:rFonts w:ascii="Arial" w:cs="Arial" w:eastAsia="Arial" w:hAnsi="Arial"/>
          <w:sz w:val="22"/>
          <w:szCs w:val="22"/>
          <w:color w:val="auto"/>
        </w:rPr>
        <w:t>announced that all outstanding shares of its Class B common stock automatically converted into Class A common stock on a one-for-one basis, effective at 12:01 a.m. ET on January 3, 2022. The conversion had no effect on the economic rights of holders of shares of Class A common stock or Class B common stock, except for the elimination of the different voting powers of the two classes of stock, and Nutanix does not expect it to have any material effect on its future operations.</w:t>
      </w:r>
    </w:p>
    <w:p>
      <w:pPr>
        <w:spacing w:after="0" w:line="259" w:lineRule="exact"/>
        <w:rPr>
          <w:sz w:val="20"/>
          <w:szCs w:val="20"/>
          <w:color w:val="auto"/>
        </w:rPr>
      </w:pPr>
    </w:p>
    <w:p>
      <w:pPr>
        <w:ind w:right="80"/>
        <w:spacing w:after="0" w:line="257" w:lineRule="auto"/>
        <w:rPr>
          <w:sz w:val="20"/>
          <w:szCs w:val="20"/>
          <w:color w:val="auto"/>
        </w:rPr>
      </w:pPr>
      <w:r>
        <w:rPr>
          <w:rFonts w:ascii="Arial" w:cs="Arial" w:eastAsia="Arial" w:hAnsi="Arial"/>
          <w:sz w:val="22"/>
          <w:szCs w:val="22"/>
          <w:color w:val="auto"/>
        </w:rPr>
        <w:t>The conversion occurred automatically pursuant to Nutanix's certificate of incorporation as a result of holders of at least sixty-seven percent of the outstanding shares of Class B common stock acting by written consent in lieu of a meeting to approve such conversion. The former holders of Class B common stock now have Class A common stock with the same voting powers, preferences, rights and qualifications, limitations and restrictions as the Class A common stock. All shares of Nutanix's outstanding capital stock are now entitled to one vote per share.</w:t>
      </w:r>
    </w:p>
    <w:p>
      <w:pPr>
        <w:spacing w:after="0" w:line="266" w:lineRule="exact"/>
        <w:rPr>
          <w:sz w:val="20"/>
          <w:szCs w:val="20"/>
          <w:color w:val="auto"/>
        </w:rPr>
      </w:pPr>
    </w:p>
    <w:p>
      <w:pPr>
        <w:ind w:right="540"/>
        <w:spacing w:after="0" w:line="262" w:lineRule="auto"/>
        <w:rPr>
          <w:sz w:val="20"/>
          <w:szCs w:val="20"/>
          <w:color w:val="auto"/>
        </w:rPr>
      </w:pPr>
      <w:r>
        <w:rPr>
          <w:rFonts w:ascii="Arial" w:cs="Arial" w:eastAsia="Arial" w:hAnsi="Arial"/>
          <w:sz w:val="22"/>
          <w:szCs w:val="22"/>
          <w:color w:val="auto"/>
        </w:rPr>
        <w:t>Nutanix filed a certificate with the Delaware Secretary of State on January 4, 2022 effecting the retirement of the Class B shares that were issued but no longer outstanding following the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335280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line="272" w:lineRule="auto"/>
        <w:rPr>
          <w:sz w:val="20"/>
          <w:szCs w:val="20"/>
          <w:color w:val="auto"/>
        </w:rPr>
      </w:pPr>
      <w:r>
        <w:rPr>
          <w:rFonts w:ascii="Arial" w:cs="Arial" w:eastAsia="Arial" w:hAnsi="Arial"/>
          <w:sz w:val="21"/>
          <w:szCs w:val="21"/>
          <w:color w:val="auto"/>
        </w:rPr>
        <w:t>No other stockholder action is required in connection with the conversion. Any existing stock certificates validly issued for shares of Nutanix’s Class B common stock will represent shares of Nutanix’s Class A common stock, and shares held with Nutanix’s transfer agent will be automatically adjusted to reflect the change. In connection with the conversion, Nutanix's Class A common stock will continue to trade on the Nasdaq Global Select Market under the ticker symbol “NTNX” and will maintain the same CUSIP number previously assigned to the Class A common stock.</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Nutanix</w:t>
      </w:r>
    </w:p>
    <w:p>
      <w:pPr>
        <w:spacing w:after="0" w:line="313" w:lineRule="exact"/>
        <w:rPr>
          <w:sz w:val="20"/>
          <w:szCs w:val="20"/>
          <w:color w:val="auto"/>
        </w:rPr>
      </w:pPr>
    </w:p>
    <w:p>
      <w:pPr>
        <w:ind w:right="180"/>
        <w:spacing w:after="0" w:line="258" w:lineRule="auto"/>
        <w:rPr>
          <w:sz w:val="20"/>
          <w:szCs w:val="20"/>
          <w:color w:val="auto"/>
        </w:rPr>
      </w:pPr>
      <w:r>
        <w:rPr>
          <w:rFonts w:ascii="Arial" w:cs="Arial" w:eastAsia="Arial" w:hAnsi="Arial"/>
          <w:sz w:val="22"/>
          <w:szCs w:val="22"/>
          <w:color w:val="auto"/>
        </w:rPr>
        <w:t>Nutanix is a global leader in cloud software and a pioneer in hyperconverged infrastructure solutions, making clouds invisible, freeing customers to focus on their business outcomes. Organizations around the world use Nutanix software to leverage a single platform to manage any app at any location for their hybrid multicloud environments. Learn more at www.nutanix.com or follow us on social media @nutanix.</w:t>
      </w:r>
    </w:p>
    <w:p>
      <w:pPr>
        <w:spacing w:after="0" w:line="262" w:lineRule="exact"/>
        <w:rPr>
          <w:sz w:val="20"/>
          <w:szCs w:val="20"/>
          <w:color w:val="auto"/>
        </w:rPr>
      </w:pPr>
    </w:p>
    <w:p>
      <w:pPr>
        <w:ind w:right="160" w:firstLine="8"/>
        <w:spacing w:after="0" w:line="271" w:lineRule="auto"/>
        <w:tabs>
          <w:tab w:leader="none" w:pos="219" w:val="left"/>
        </w:tabs>
        <w:numPr>
          <w:ilvl w:val="0"/>
          <w:numId w:val="4"/>
        </w:numPr>
        <w:rPr>
          <w:rFonts w:ascii="Arial" w:cs="Arial" w:eastAsia="Arial" w:hAnsi="Arial"/>
          <w:sz w:val="21"/>
          <w:szCs w:val="21"/>
          <w:color w:val="auto"/>
        </w:rPr>
      </w:pPr>
      <w:r>
        <w:rPr>
          <w:rFonts w:ascii="Arial" w:cs="Arial" w:eastAsia="Arial" w:hAnsi="Arial"/>
          <w:sz w:val="21"/>
          <w:szCs w:val="21"/>
          <w:color w:val="auto"/>
        </w:rPr>
        <w:t>2022 Nutanix, Inc. All rights reserved. Nutanix, the Nutanix logo, and all Nutanix product and service names mentioned herein are registered trademarks or trademarks of Nutanix, Inc. in the United States and other countries. Other brand names mentioned herein are for identification purposes only and may be the trademarks of their respective holder(s). This release may contain links to external websites that are not part of Nutanix.com. Nutanix does not control these sites and disclaims all responsibility for the content or accuracy of any external site. Nutanix’s decision to link to an external site should not be considered an endorsement of any content on such a site.</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313" w:lineRule="exact"/>
        <w:rPr>
          <w:sz w:val="20"/>
          <w:szCs w:val="20"/>
          <w:color w:val="auto"/>
        </w:rPr>
      </w:pPr>
    </w:p>
    <w:p>
      <w:pPr>
        <w:ind w:right="20"/>
        <w:spacing w:after="0" w:line="269" w:lineRule="auto"/>
        <w:rPr>
          <w:sz w:val="20"/>
          <w:szCs w:val="20"/>
          <w:color w:val="auto"/>
        </w:rPr>
      </w:pPr>
      <w:r>
        <w:rPr>
          <w:rFonts w:ascii="Arial" w:cs="Arial" w:eastAsia="Arial" w:hAnsi="Arial"/>
          <w:sz w:val="21"/>
          <w:szCs w:val="21"/>
          <w:color w:val="auto"/>
        </w:rPr>
        <w:t>This press release contains express and implied forward-looking statements, including, but not limited to, statements regarding the effect of the conversion on Nutanix’s future operations and Nutanix’s Class A and Class B common stock. These forward-looking statements are not historical facts and instead are based on Nutanix’s current expectations, estimates and beliefs. The accuracy of such statements depends upon future events and involves risks, uncertainties, and other factors, including factors that may be beyond Nutanix’s control, that may cause these statements to be inaccurate and cause its actual results, performance or achievements to differ materially and adversely from those anticipated or implied by such statements, including risks detailed in Nutanix’s Annual Report on Form 10-K for the fiscal year ended July 31, 2021 filed with the U.S. Securities and Exchange Commission, or the SEC, on September 21, 2021 and Nutanix’s Quarterly Report on Form 10-Q for the fiscal quarter ended October 31, 2021 filed with the SEC on December 2, 2021, which should be read in conjunction with this press release. Nutanix’s SEC filings are available on the Investor Relations section of its website at ir.nutanix.com and on the SEC's website at www.sec.gov. These forward-looking statements speak only as of the date of this press release and, except as required by law, Nutanix assumes no obligation, and expressly disclaims any obligation, to update, alter or otherwise revise any of these forward-looking statements to reflect actual results or subsequent events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7"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21"/>
          <w:szCs w:val="21"/>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215265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17" w:right="1440"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jpe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0" Type="http://schemas.openxmlformats.org/officeDocument/2006/relationships/hyperlink" Target="https://www.sec.gov/Archives/edgar/data/1618732/000162828016021886/ex31-10312016x10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2022-01-04T15:49:39Z</dcterms:created>
  <dcterms:modified xsi:type="dcterms:W3CDTF">2022-01-04T15:49:39Z</dcterms:modified>
</cp:coreProperties>
</file>