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ntnx-20260804.htm"/>
      <w:bookmarkStart w:id="1" w:name="ksntnx20260804"/>
      <w:bookmarkEnd w:id="0"/>
      <w:bookmarkEnd w:id="1"/>
      <w:r>
        <w:rPr/>
        <w:t> </w:t>
      </w:r>
    </w:p>
    <w:p>
      <w:pPr>
        <w:pStyle w:val="TextBody"/>
        <w:bidi w:val="0"/>
        <w:jc w:val="center"/>
        <w:rPr>
          <w:rFonts w:ascii="Arial" w:hAnsi="Arial"/>
          <w:b/>
          <w:color w:val="000000"/>
          <w:sz w:val="32"/>
        </w:rPr>
      </w:pPr>
      <w:r>
        <w:rPr>
          <w:rFonts w:ascii="Arial" w:hAnsi="Arial"/>
          <w:b/>
          <w:color w:val="000000"/>
          <w:sz w:val="32"/>
        </w:rPr>
        <w:t>UNITED STATES</w:t>
        <w:br/>
        <w:t>SECURITIES AND EXCHANGE COMMISSION</w:t>
      </w:r>
    </w:p>
    <w:p>
      <w:pPr>
        <w:pStyle w:val="TextBody"/>
        <w:bidi w:val="0"/>
        <w:spacing w:before="40" w:after="40"/>
        <w:jc w:val="center"/>
        <w:rPr>
          <w:rFonts w:ascii="Arial" w:hAnsi="Arial"/>
          <w:b/>
          <w:color w:val="000000"/>
          <w:sz w:val="20"/>
        </w:rPr>
      </w:pPr>
      <w:r>
        <w:rPr>
          <w:rFonts w:ascii="Arial" w:hAnsi="Arial"/>
          <w:b/>
          <w:color w:val="000000"/>
          <w:sz w:val="20"/>
        </w:rPr>
        <w:t>Washington, D.C. 20549</w:t>
      </w:r>
    </w:p>
    <w:p>
      <w:pPr>
        <w:pStyle w:val="TextBody"/>
        <w:bidi w:val="0"/>
        <w:spacing w:before="0" w:after="40"/>
        <w:jc w:val="center"/>
        <w:rPr/>
      </w:pPr>
      <w:r>
        <w:rPr/>
        <w:t> </w:t>
      </w:r>
    </w:p>
    <w:p>
      <w:pPr>
        <w:pStyle w:val="TextBody"/>
        <w:bidi w:val="0"/>
        <w:spacing w:before="0" w:after="40"/>
        <w:jc w:val="center"/>
        <w:rPr>
          <w:rFonts w:ascii="Arial" w:hAnsi="Arial"/>
          <w:b/>
          <w:color w:val="000000"/>
          <w:sz w:val="32"/>
        </w:rPr>
      </w:pPr>
      <w:r>
        <w:rPr>
          <w:rFonts w:ascii="Arial" w:hAnsi="Arial"/>
          <w:b/>
          <w:color w:val="000000"/>
          <w:sz w:val="32"/>
        </w:rPr>
        <w:t>FORM 8-K</w:t>
      </w:r>
    </w:p>
    <w:p>
      <w:pPr>
        <w:pStyle w:val="TextBody"/>
        <w:bidi w:val="0"/>
        <w:spacing w:before="0" w:after="40"/>
        <w:jc w:val="center"/>
        <w:rPr/>
      </w:pPr>
      <w:r>
        <w:rPr/>
        <w:t> </w:t>
      </w:r>
    </w:p>
    <w:p>
      <w:pPr>
        <w:pStyle w:val="TextBody"/>
        <w:bidi w:val="0"/>
        <w:jc w:val="center"/>
        <w:rPr>
          <w:rFonts w:ascii="Arial" w:hAnsi="Arial"/>
          <w:b/>
          <w:color w:val="000000"/>
          <w:sz w:val="24"/>
        </w:rPr>
      </w:pPr>
      <w:r>
        <w:rPr>
          <w:rFonts w:ascii="Arial" w:hAnsi="Arial"/>
          <w:b/>
          <w:color w:val="000000"/>
          <w:sz w:val="24"/>
        </w:rPr>
        <w:t>CURRENT REPORT</w:t>
      </w:r>
    </w:p>
    <w:p>
      <w:pPr>
        <w:pStyle w:val="TextBody"/>
        <w:bidi w:val="0"/>
        <w:jc w:val="center"/>
        <w:rPr>
          <w:rFonts w:ascii="Arial" w:hAnsi="Arial"/>
          <w:b/>
          <w:color w:val="000000"/>
          <w:sz w:val="24"/>
        </w:rPr>
      </w:pPr>
      <w:r>
        <w:rPr>
          <w:rFonts w:ascii="Arial" w:hAnsi="Arial"/>
          <w:b/>
          <w:color w:val="000000"/>
          <w:sz w:val="24"/>
        </w:rPr>
        <w:t>Pursuant to Section 13 or 15(d) of</w:t>
      </w:r>
    </w:p>
    <w:p>
      <w:pPr>
        <w:pStyle w:val="TextBody"/>
        <w:bidi w:val="0"/>
        <w:jc w:val="center"/>
        <w:rPr>
          <w:rFonts w:ascii="Arial" w:hAnsi="Arial"/>
          <w:b/>
          <w:color w:val="000000"/>
          <w:sz w:val="24"/>
        </w:rPr>
      </w:pPr>
      <w:r>
        <w:rPr>
          <w:rFonts w:ascii="Arial" w:hAnsi="Arial"/>
          <w:b/>
          <w:color w:val="000000"/>
          <w:sz w:val="24"/>
        </w:rPr>
        <w:t>The Securities Exchange Act of 1934</w:t>
      </w:r>
    </w:p>
    <w:p>
      <w:pPr>
        <w:pStyle w:val="TextBody"/>
        <w:bidi w:val="0"/>
        <w:jc w:val="center"/>
        <w:rPr/>
      </w:pPr>
      <w:r>
        <w:rPr/>
        <w:t> </w:t>
      </w:r>
    </w:p>
    <w:p>
      <w:pPr>
        <w:pStyle w:val="TextBody"/>
        <w:bidi w:val="0"/>
        <w:spacing w:before="40" w:after="40"/>
        <w:jc w:val="center"/>
        <w:rPr>
          <w:rFonts w:ascii="Arial" w:hAnsi="Arial"/>
          <w:color w:val="000000"/>
          <w:sz w:val="20"/>
        </w:rPr>
      </w:pPr>
      <w:r>
        <w:rPr>
          <w:rFonts w:ascii="Arial" w:hAnsi="Arial"/>
          <w:color w:val="000000"/>
          <w:sz w:val="20"/>
        </w:rPr>
        <w:t>Date of Report (Date of earliest event reported)</w:t>
      </w:r>
    </w:p>
    <w:p>
      <w:pPr>
        <w:pStyle w:val="TextBody"/>
        <w:bidi w:val="0"/>
        <w:spacing w:before="0" w:after="40"/>
        <w:jc w:val="center"/>
        <w:rPr>
          <w:rFonts w:ascii="Arial" w:hAnsi="Arial"/>
          <w:b/>
          <w:color w:val="1A1A1A"/>
          <w:sz w:val="20"/>
        </w:rPr>
      </w:pPr>
      <w:r>
        <w:rPr>
          <w:rFonts w:ascii="Arial" w:hAnsi="Arial"/>
          <w:b/>
          <w:color w:val="1A1A1A"/>
          <w:sz w:val="20"/>
        </w:rPr>
        <w:t>August 4, 2026</w:t>
      </w:r>
    </w:p>
    <w:p>
      <w:pPr>
        <w:pStyle w:val="TextBody"/>
        <w:bidi w:val="0"/>
        <w:spacing w:before="0" w:after="40"/>
        <w:jc w:val="center"/>
        <w:rPr/>
      </w:pPr>
      <w:r>
        <w:rPr/>
        <w:t> </w:t>
      </w:r>
    </w:p>
    <w:p>
      <w:pPr>
        <w:pStyle w:val="TextBody"/>
        <w:bidi w:val="0"/>
        <w:spacing w:before="0" w:after="40"/>
        <w:jc w:val="center"/>
        <w:rPr>
          <w:rFonts w:ascii="Arial" w:hAnsi="Arial"/>
          <w:b/>
          <w:color w:val="000000"/>
          <w:sz w:val="32"/>
        </w:rPr>
      </w:pPr>
      <w:r>
        <w:rPr>
          <w:rFonts w:ascii="Arial" w:hAnsi="Arial"/>
          <w:b/>
          <w:color w:val="000000"/>
          <w:sz w:val="32"/>
        </w:rPr>
        <w:t>NUTANIX, INC.</w:t>
      </w:r>
    </w:p>
    <w:p>
      <w:pPr>
        <w:pStyle w:val="TextBody"/>
        <w:bidi w:val="0"/>
        <w:spacing w:before="0" w:after="40"/>
        <w:jc w:val="center"/>
        <w:rPr>
          <w:rFonts w:ascii="Arial" w:hAnsi="Arial"/>
          <w:color w:val="000000"/>
          <w:sz w:val="20"/>
        </w:rPr>
      </w:pPr>
      <w:r>
        <w:rPr>
          <w:rFonts w:ascii="Arial" w:hAnsi="Arial"/>
          <w:color w:val="000000"/>
          <w:sz w:val="20"/>
        </w:rPr>
        <w:t>(Exact name of registrant as specified in its charter)</w:t>
      </w:r>
    </w:p>
    <w:tbl>
      <w:tblPr>
        <w:tblW w:w="6678" w:type="dxa"/>
        <w:jc w:val="left"/>
        <w:tblInd w:w="0" w:type="dxa"/>
        <w:tblLayout w:type="fixed"/>
        <w:tblCellMar>
          <w:top w:w="28" w:type="dxa"/>
          <w:left w:w="28" w:type="dxa"/>
          <w:bottom w:w="28" w:type="dxa"/>
          <w:right w:w="28" w:type="dxa"/>
        </w:tblCellMar>
      </w:tblPr>
      <w:tblGrid>
        <w:gridCol w:w="2581"/>
        <w:gridCol w:w="2416"/>
        <w:gridCol w:w="1681"/>
      </w:tblGrid>
      <w:tr>
        <w:trPr/>
        <w:tc>
          <w:tcPr>
            <w:tcW w:w="2581" w:type="dxa"/>
            <w:tcBorders/>
            <w:vAlign w:val="center"/>
          </w:tcPr>
          <w:p>
            <w:pPr>
              <w:pStyle w:val="TableContents"/>
              <w:bidi w:val="0"/>
              <w:spacing w:before="0" w:after="283"/>
              <w:jc w:val="left"/>
              <w:rPr>
                <w:sz w:val="4"/>
                <w:szCs w:val="4"/>
              </w:rPr>
            </w:pPr>
            <w:r>
              <w:rPr>
                <w:sz w:val="4"/>
                <w:szCs w:val="4"/>
              </w:rPr>
            </w:r>
          </w:p>
        </w:tc>
        <w:tc>
          <w:tcPr>
            <w:tcW w:w="2416"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r>
      <w:tr>
        <w:trPr/>
        <w:tc>
          <w:tcPr>
            <w:tcW w:w="2581" w:type="dxa"/>
            <w:tcBorders/>
            <w:tcMar>
              <w:top w:w="0" w:type="dxa"/>
              <w:left w:w="0" w:type="dxa"/>
              <w:bottom w:w="0" w:type="dxa"/>
              <w:right w:w="0" w:type="dxa"/>
            </w:tcMar>
            <w:vAlign w:val="center"/>
          </w:tcPr>
          <w:p>
            <w:pPr>
              <w:pStyle w:val="TableContents"/>
              <w:bidi w:val="0"/>
              <w:spacing w:before="40" w:after="40"/>
              <w:jc w:val="center"/>
              <w:rPr>
                <w:rFonts w:ascii="Arial" w:hAnsi="Arial"/>
                <w:b/>
                <w:color w:val="000000"/>
                <w:sz w:val="20"/>
                <w:u w:val="single"/>
              </w:rPr>
            </w:pPr>
            <w:r>
              <w:rPr>
                <w:rFonts w:ascii="Arial" w:hAnsi="Arial"/>
                <w:b/>
                <w:color w:val="000000"/>
                <w:sz w:val="20"/>
                <w:u w:val="single"/>
              </w:rPr>
              <w:t>Delaware</w:t>
            </w:r>
          </w:p>
        </w:tc>
        <w:tc>
          <w:tcPr>
            <w:tcW w:w="2416" w:type="dxa"/>
            <w:tcBorders/>
            <w:tcMar>
              <w:top w:w="0" w:type="dxa"/>
              <w:left w:w="0" w:type="dxa"/>
              <w:bottom w:w="0" w:type="dxa"/>
              <w:right w:w="0" w:type="dxa"/>
            </w:tcMar>
            <w:vAlign w:val="center"/>
          </w:tcPr>
          <w:p>
            <w:pPr>
              <w:pStyle w:val="TableContents"/>
              <w:bidi w:val="0"/>
              <w:spacing w:before="40" w:after="40"/>
              <w:jc w:val="center"/>
              <w:rPr>
                <w:rFonts w:ascii="Arial" w:hAnsi="Arial"/>
                <w:b/>
                <w:color w:val="000000"/>
                <w:sz w:val="20"/>
                <w:u w:val="single"/>
              </w:rPr>
            </w:pPr>
            <w:r>
              <w:rPr>
                <w:rFonts w:ascii="Arial" w:hAnsi="Arial"/>
                <w:b/>
                <w:color w:val="000000"/>
                <w:sz w:val="20"/>
                <w:u w:val="single"/>
              </w:rPr>
              <w:t>001-37883</w:t>
            </w:r>
          </w:p>
        </w:tc>
        <w:tc>
          <w:tcPr>
            <w:tcW w:w="1681" w:type="dxa"/>
            <w:tcBorders/>
            <w:tcMar>
              <w:top w:w="0" w:type="dxa"/>
              <w:left w:w="0" w:type="dxa"/>
              <w:bottom w:w="0" w:type="dxa"/>
              <w:right w:w="0" w:type="dxa"/>
            </w:tcMar>
            <w:vAlign w:val="center"/>
          </w:tcPr>
          <w:p>
            <w:pPr>
              <w:pStyle w:val="TableContents"/>
              <w:bidi w:val="0"/>
              <w:spacing w:before="40" w:after="40"/>
              <w:jc w:val="center"/>
              <w:rPr>
                <w:rFonts w:ascii="Arial" w:hAnsi="Arial"/>
                <w:b/>
                <w:color w:val="000000"/>
                <w:sz w:val="20"/>
                <w:u w:val="single"/>
              </w:rPr>
            </w:pPr>
            <w:r>
              <w:rPr>
                <w:rFonts w:ascii="Arial" w:hAnsi="Arial"/>
                <w:b/>
                <w:color w:val="000000"/>
                <w:sz w:val="20"/>
                <w:u w:val="single"/>
              </w:rPr>
              <w:t>27-0989767</w:t>
            </w:r>
          </w:p>
        </w:tc>
      </w:tr>
      <w:tr>
        <w:trPr/>
        <w:tc>
          <w:tcPr>
            <w:tcW w:w="2581" w:type="dxa"/>
            <w:tcBorders/>
            <w:tcMar>
              <w:top w:w="0" w:type="dxa"/>
              <w:left w:w="0" w:type="dxa"/>
              <w:bottom w:w="0" w:type="dxa"/>
              <w:right w:w="0" w:type="dxa"/>
            </w:tcMar>
            <w:vAlign w:val="center"/>
          </w:tcPr>
          <w:p>
            <w:pPr>
              <w:pStyle w:val="TableContents"/>
              <w:bidi w:val="0"/>
              <w:spacing w:before="40" w:after="40"/>
              <w:jc w:val="center"/>
              <w:rPr>
                <w:rFonts w:ascii="Arial" w:hAnsi="Arial"/>
                <w:color w:val="000000"/>
                <w:sz w:val="20"/>
              </w:rPr>
            </w:pPr>
            <w:r>
              <w:rPr>
                <w:rFonts w:ascii="Arial" w:hAnsi="Arial"/>
                <w:color w:val="000000"/>
                <w:sz w:val="20"/>
              </w:rPr>
              <w:t>(State or other jurisdiction of</w:t>
              <w:br/>
              <w:t>incorporation)</w:t>
            </w:r>
          </w:p>
        </w:tc>
        <w:tc>
          <w:tcPr>
            <w:tcW w:w="2416" w:type="dxa"/>
            <w:tcBorders/>
            <w:tcMar>
              <w:top w:w="0" w:type="dxa"/>
              <w:left w:w="0" w:type="dxa"/>
              <w:bottom w:w="0" w:type="dxa"/>
              <w:right w:w="0" w:type="dxa"/>
            </w:tcMar>
            <w:vAlign w:val="center"/>
          </w:tcPr>
          <w:p>
            <w:pPr>
              <w:pStyle w:val="TableContents"/>
              <w:bidi w:val="0"/>
              <w:spacing w:before="40" w:after="40"/>
              <w:jc w:val="center"/>
              <w:rPr>
                <w:rFonts w:ascii="Arial" w:hAnsi="Arial"/>
                <w:color w:val="000000"/>
                <w:sz w:val="20"/>
              </w:rPr>
            </w:pPr>
            <w:r>
              <w:rPr>
                <w:rFonts w:ascii="Arial" w:hAnsi="Arial"/>
                <w:color w:val="000000"/>
                <w:sz w:val="20"/>
              </w:rPr>
              <w:t>(Commission File Number)</w:t>
            </w:r>
          </w:p>
        </w:tc>
        <w:tc>
          <w:tcPr>
            <w:tcW w:w="1681" w:type="dxa"/>
            <w:tcBorders/>
            <w:tcMar>
              <w:top w:w="0" w:type="dxa"/>
              <w:left w:w="0" w:type="dxa"/>
              <w:bottom w:w="0" w:type="dxa"/>
              <w:right w:w="0" w:type="dxa"/>
            </w:tcMar>
            <w:vAlign w:val="center"/>
          </w:tcPr>
          <w:p>
            <w:pPr>
              <w:pStyle w:val="TableContents"/>
              <w:bidi w:val="0"/>
              <w:spacing w:before="40" w:after="40"/>
              <w:jc w:val="center"/>
              <w:rPr>
                <w:rFonts w:ascii="Arial" w:hAnsi="Arial"/>
                <w:color w:val="000000"/>
                <w:sz w:val="20"/>
              </w:rPr>
            </w:pPr>
            <w:r>
              <w:rPr>
                <w:rFonts w:ascii="Arial" w:hAnsi="Arial"/>
                <w:color w:val="000000"/>
                <w:sz w:val="20"/>
              </w:rPr>
              <w:t>(IRS Employer</w:t>
              <w:br/>
              <w:t>Identification No.)</w:t>
            </w:r>
          </w:p>
        </w:tc>
      </w:tr>
    </w:tbl>
    <w:p>
      <w:pPr>
        <w:pStyle w:val="TextBody"/>
        <w:bidi w:val="0"/>
        <w:spacing w:before="40" w:after="40"/>
        <w:jc w:val="center"/>
        <w:rPr/>
      </w:pPr>
      <w:r>
        <w:rPr/>
        <w:t> </w:t>
      </w:r>
    </w:p>
    <w:p>
      <w:pPr>
        <w:pStyle w:val="TextBody"/>
        <w:bidi w:val="0"/>
        <w:spacing w:before="0" w:after="40"/>
        <w:jc w:val="center"/>
        <w:rPr>
          <w:rFonts w:ascii="Arial" w:hAnsi="Arial"/>
          <w:b/>
          <w:color w:val="000000"/>
          <w:sz w:val="20"/>
        </w:rPr>
      </w:pPr>
      <w:r>
        <w:rPr>
          <w:rFonts w:ascii="Arial" w:hAnsi="Arial"/>
          <w:b/>
          <w:color w:val="000000"/>
          <w:sz w:val="20"/>
        </w:rPr>
        <w:t>1740 Technology Drive, Suite 150</w:t>
      </w:r>
    </w:p>
    <w:p>
      <w:pPr>
        <w:pStyle w:val="TextBody"/>
        <w:bidi w:val="0"/>
        <w:spacing w:before="0" w:after="40"/>
        <w:jc w:val="center"/>
        <w:rPr>
          <w:rFonts w:ascii="Times New Roman" w:hAnsi="Times New Roman"/>
          <w:sz w:val="20"/>
        </w:rPr>
      </w:pPr>
      <w:r>
        <w:rPr>
          <w:rFonts w:ascii="Arial" w:hAnsi="Arial"/>
          <w:b/>
          <w:color w:val="000000"/>
          <w:sz w:val="20"/>
        </w:rPr>
        <w:t>San Jose, California</w:t>
      </w:r>
      <w:r>
        <w:rPr>
          <w:rFonts w:ascii="Times New Roman" w:hAnsi="Times New Roman"/>
          <w:color w:val="000000"/>
          <w:sz w:val="20"/>
        </w:rPr>
        <w:t xml:space="preserve"> </w:t>
      </w:r>
      <w:r>
        <w:rPr>
          <w:rFonts w:ascii="Arial" w:hAnsi="Arial"/>
          <w:b/>
          <w:color w:val="000000"/>
          <w:sz w:val="20"/>
        </w:rPr>
        <w:t>95110</w:t>
      </w:r>
      <w:r>
        <w:rPr>
          <w:rFonts w:ascii="Times New Roman" w:hAnsi="Times New Roman"/>
          <w:color w:val="000000"/>
          <w:sz w:val="20"/>
        </w:rPr>
        <w:t xml:space="preserve"> </w:t>
      </w:r>
    </w:p>
    <w:p>
      <w:pPr>
        <w:pStyle w:val="TextBody"/>
        <w:bidi w:val="0"/>
        <w:spacing w:before="0" w:after="40"/>
        <w:jc w:val="center"/>
        <w:rPr>
          <w:rFonts w:ascii="Arial" w:hAnsi="Arial"/>
          <w:color w:val="000000"/>
          <w:sz w:val="20"/>
        </w:rPr>
      </w:pPr>
      <w:r>
        <w:rPr>
          <w:rFonts w:ascii="Arial" w:hAnsi="Arial"/>
          <w:color w:val="000000"/>
          <w:sz w:val="20"/>
        </w:rPr>
        <w:t>(Address of principal executive offices, including zip code)</w:t>
      </w:r>
    </w:p>
    <w:p>
      <w:pPr>
        <w:pStyle w:val="TextBody"/>
        <w:bidi w:val="0"/>
        <w:spacing w:before="0" w:after="40"/>
        <w:jc w:val="center"/>
        <w:rPr/>
      </w:pPr>
      <w:r>
        <w:rPr/>
        <w:t> </w:t>
      </w:r>
    </w:p>
    <w:p>
      <w:pPr>
        <w:pStyle w:val="TextBody"/>
        <w:bidi w:val="0"/>
        <w:spacing w:before="0" w:after="40"/>
        <w:jc w:val="center"/>
        <w:rPr>
          <w:rFonts w:ascii="Arial" w:hAnsi="Arial"/>
          <w:b/>
          <w:color w:val="000000"/>
          <w:sz w:val="20"/>
        </w:rPr>
      </w:pPr>
      <w:r>
        <w:rPr>
          <w:rFonts w:ascii="Arial" w:hAnsi="Arial"/>
          <w:b/>
          <w:color w:val="000000"/>
          <w:sz w:val="20"/>
        </w:rPr>
        <w:t>(408) 400-3125</w:t>
      </w:r>
    </w:p>
    <w:p>
      <w:pPr>
        <w:pStyle w:val="TextBody"/>
        <w:bidi w:val="0"/>
        <w:spacing w:before="0" w:after="40"/>
        <w:jc w:val="center"/>
        <w:rPr>
          <w:rFonts w:ascii="Arial" w:hAnsi="Arial"/>
          <w:color w:val="000000"/>
          <w:sz w:val="20"/>
        </w:rPr>
      </w:pPr>
      <w:r>
        <w:rPr>
          <w:rFonts w:ascii="Arial" w:hAnsi="Arial"/>
          <w:color w:val="000000"/>
          <w:sz w:val="20"/>
        </w:rPr>
        <w:t>(Registrant’s telephone number, including area code)</w:t>
      </w:r>
    </w:p>
    <w:p>
      <w:pPr>
        <w:pStyle w:val="TextBody"/>
        <w:bidi w:val="0"/>
        <w:spacing w:before="0" w:after="40"/>
        <w:jc w:val="center"/>
        <w:rPr/>
      </w:pPr>
      <w:r>
        <w:rPr/>
        <w:t> </w:t>
      </w:r>
    </w:p>
    <w:p>
      <w:pPr>
        <w:pStyle w:val="TextBody"/>
        <w:bidi w:val="0"/>
        <w:spacing w:before="0" w:after="40"/>
        <w:jc w:val="center"/>
        <w:rPr>
          <w:rFonts w:ascii="Arial" w:hAnsi="Arial"/>
          <w:b/>
          <w:color w:val="000000"/>
          <w:sz w:val="20"/>
        </w:rPr>
      </w:pPr>
      <w:r>
        <w:rPr>
          <w:rFonts w:ascii="Arial" w:hAnsi="Arial"/>
          <w:b/>
          <w:color w:val="000000"/>
          <w:sz w:val="20"/>
        </w:rPr>
        <w:t>Not Applicable</w:t>
      </w:r>
    </w:p>
    <w:p>
      <w:pPr>
        <w:pStyle w:val="TextBody"/>
        <w:bidi w:val="0"/>
        <w:spacing w:before="0" w:after="40"/>
        <w:jc w:val="center"/>
        <w:rPr>
          <w:rFonts w:ascii="Arial" w:hAnsi="Arial"/>
          <w:color w:val="000000"/>
          <w:sz w:val="20"/>
        </w:rPr>
      </w:pPr>
      <w:r>
        <w:rPr>
          <w:rFonts w:ascii="Arial" w:hAnsi="Arial"/>
          <w:color w:val="000000"/>
          <w:sz w:val="20"/>
        </w:rPr>
        <w:t>(Former name or former address, if changed since last report)</w:t>
      </w:r>
    </w:p>
    <w:p>
      <w:pPr>
        <w:pStyle w:val="TextBody"/>
        <w:bidi w:val="0"/>
        <w:spacing w:before="0" w:after="40"/>
        <w:jc w:val="center"/>
        <w:rPr/>
      </w:pPr>
      <w:r>
        <w:rPr/>
        <w:t> </w:t>
      </w:r>
    </w:p>
    <w:p>
      <w:pPr>
        <w:pStyle w:val="TextBody"/>
        <w:bidi w:val="0"/>
        <w:spacing w:before="0" w:after="160"/>
        <w:jc w:val="left"/>
        <w:rPr>
          <w:rFonts w:ascii="Arial" w:hAnsi="Arial"/>
          <w:color w:val="000000"/>
          <w:sz w:val="18"/>
        </w:rPr>
      </w:pPr>
      <w:r>
        <w:rPr>
          <w:rFonts w:ascii="Arial" w:hAnsi="Arial"/>
          <w:color w:val="000000"/>
          <w:sz w:val="18"/>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40"/>
        <w:jc w:val="left"/>
        <w:rPr/>
      </w:pPr>
      <w:r>
        <w:rPr>
          <w:color w:val="000000"/>
        </w:rPr>
        <w:t xml:space="preserve">☐ </w:t>
      </w:r>
      <w:r>
        <w:rPr>
          <w:rFonts w:ascii="Arial" w:hAnsi="Arial"/>
          <w:color w:val="000000"/>
          <w:sz w:val="18"/>
        </w:rPr>
        <w:t>Written communications pursuant to Rule 425 under the Securities Act (17 CFR 230.425)</w:t>
      </w:r>
      <w:r>
        <w:rPr>
          <w:rFonts w:ascii="Times New Roman" w:hAnsi="Times New Roman"/>
          <w:color w:val="000000"/>
          <w:sz w:val="20"/>
        </w:rPr>
        <w:t xml:space="preserve"> </w:t>
      </w:r>
    </w:p>
    <w:p>
      <w:pPr>
        <w:pStyle w:val="TextBody"/>
        <w:bidi w:val="0"/>
        <w:spacing w:before="0" w:after="40"/>
        <w:jc w:val="left"/>
        <w:rPr/>
      </w:pPr>
      <w:r>
        <w:rPr>
          <w:color w:val="000000"/>
        </w:rPr>
        <w:t xml:space="preserve">☐ </w:t>
      </w:r>
      <w:r>
        <w:rPr>
          <w:rFonts w:ascii="Arial" w:hAnsi="Arial"/>
          <w:color w:val="000000"/>
          <w:sz w:val="18"/>
        </w:rPr>
        <w:t>Soliciting material pursuant to Rule 14a-12 under the Exchange Act (17 CFR 240.14a-12)</w:t>
      </w:r>
      <w:r>
        <w:rPr>
          <w:rFonts w:ascii="Times New Roman" w:hAnsi="Times New Roman"/>
          <w:color w:val="000000"/>
          <w:sz w:val="20"/>
        </w:rPr>
        <w:t xml:space="preserve"> </w:t>
      </w:r>
    </w:p>
    <w:p>
      <w:pPr>
        <w:pStyle w:val="TextBody"/>
        <w:bidi w:val="0"/>
        <w:spacing w:before="0" w:after="40"/>
        <w:jc w:val="left"/>
        <w:rPr/>
      </w:pPr>
      <w:r>
        <w:rPr>
          <w:color w:val="000000"/>
        </w:rPr>
        <w:t xml:space="preserve">☐ </w:t>
      </w:r>
      <w:r>
        <w:rPr>
          <w:rFonts w:ascii="Arial" w:hAnsi="Arial"/>
          <w:color w:val="000000"/>
          <w:sz w:val="18"/>
        </w:rPr>
        <w:t>Pre-commencement communications pursuant to Rule 14d-2(b) under the Exchange Act (17 CFR 240.14d-2(b))</w:t>
      </w:r>
      <w:r>
        <w:rPr>
          <w:rFonts w:ascii="Times New Roman" w:hAnsi="Times New Roman"/>
          <w:color w:val="000000"/>
          <w:sz w:val="20"/>
        </w:rPr>
        <w:t xml:space="preserve"> </w:t>
      </w:r>
    </w:p>
    <w:p>
      <w:pPr>
        <w:pStyle w:val="TextBody"/>
        <w:bidi w:val="0"/>
        <w:spacing w:before="0" w:after="160"/>
        <w:jc w:val="left"/>
        <w:rPr/>
      </w:pPr>
      <w:r>
        <w:rPr>
          <w:color w:val="000000"/>
        </w:rPr>
        <w:t xml:space="preserve">☐ </w:t>
      </w:r>
      <w:r>
        <w:rPr>
          <w:rFonts w:ascii="Arial" w:hAnsi="Arial"/>
          <w:color w:val="000000"/>
          <w:sz w:val="18"/>
        </w:rPr>
        <w:t>Pre-commencement communications pursuant to Rule 13e-4(c) under the Exchange Act (17 CFR 240.13e-4(c))</w:t>
      </w:r>
      <w:r>
        <w:rPr>
          <w:rFonts w:ascii="Times New Roman" w:hAnsi="Times New Roman"/>
          <w:color w:val="000000"/>
          <w:sz w:val="20"/>
        </w:rPr>
        <w:t xml:space="preserve"> </w:t>
      </w:r>
    </w:p>
    <w:p>
      <w:pPr>
        <w:pStyle w:val="TextBody"/>
        <w:bidi w:val="0"/>
        <w:spacing w:before="0" w:after="40"/>
        <w:jc w:val="center"/>
        <w:rPr>
          <w:rFonts w:ascii="Times New Roman" w:hAnsi="Times New Roman"/>
          <w:sz w:val="20"/>
        </w:rPr>
      </w:pPr>
      <w:r>
        <w:rPr>
          <w:rFonts w:ascii="Arial" w:hAnsi="Arial"/>
          <w:b/>
          <w:color w:val="000000"/>
          <w:sz w:val="18"/>
        </w:rPr>
        <w:t>Securities registered pursuant to Section 12(b) of the Act:</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4495"/>
        <w:gridCol w:w="146"/>
        <w:gridCol w:w="1606"/>
        <w:gridCol w:w="146"/>
        <w:gridCol w:w="3812"/>
      </w:tblGrid>
      <w:tr>
        <w:trPr/>
        <w:tc>
          <w:tcPr>
            <w:tcW w:w="449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12" w:type="dxa"/>
            <w:tcBorders/>
            <w:vAlign w:val="center"/>
          </w:tcPr>
          <w:p>
            <w:pPr>
              <w:pStyle w:val="TableContents"/>
              <w:bidi w:val="0"/>
              <w:spacing w:before="0" w:after="283"/>
              <w:jc w:val="left"/>
              <w:rPr>
                <w:sz w:val="4"/>
                <w:szCs w:val="4"/>
              </w:rPr>
            </w:pPr>
            <w:r>
              <w:rPr>
                <w:sz w:val="4"/>
                <w:szCs w:val="4"/>
              </w:rPr>
            </w:r>
          </w:p>
        </w:tc>
      </w:tr>
      <w:tr>
        <w:trPr/>
        <w:tc>
          <w:tcPr>
            <w:tcW w:w="4495" w:type="dxa"/>
            <w:tcBorders/>
            <w:tcMar>
              <w:top w:w="0" w:type="dxa"/>
              <w:left w:w="0" w:type="dxa"/>
              <w:bottom w:w="0" w:type="dxa"/>
              <w:right w:w="0" w:type="dxa"/>
            </w:tcMar>
            <w:vAlign w:val="center"/>
          </w:tcPr>
          <w:p>
            <w:pPr>
              <w:pStyle w:val="TableContents"/>
              <w:bidi w:val="0"/>
              <w:spacing w:before="40" w:after="40"/>
              <w:jc w:val="center"/>
              <w:rPr>
                <w:rFonts w:ascii="Arial" w:hAnsi="Arial"/>
                <w:b/>
                <w:color w:val="000000"/>
                <w:sz w:val="18"/>
              </w:rPr>
            </w:pPr>
            <w:r>
              <w:rPr>
                <w:rFonts w:ascii="Arial" w:hAnsi="Arial"/>
                <w:b/>
                <w:color w:val="000000"/>
                <w:sz w:val="18"/>
              </w:rPr>
              <w:t>Title of each class</w:t>
            </w:r>
          </w:p>
        </w:tc>
        <w:tc>
          <w:tcPr>
            <w:tcW w:w="146" w:type="dxa"/>
            <w:tcBorders/>
            <w:tcMar>
              <w:top w:w="0" w:type="dxa"/>
              <w:left w:w="0" w:type="dxa"/>
              <w:bottom w:w="0" w:type="dxa"/>
              <w:right w:w="0" w:type="dxa"/>
            </w:tcMar>
            <w:vAlign w:val="center"/>
          </w:tcPr>
          <w:p>
            <w:pPr>
              <w:pStyle w:val="TableContents"/>
              <w:bidi w:val="0"/>
              <w:spacing w:before="40" w:after="40"/>
              <w:jc w:val="left"/>
              <w:rPr/>
            </w:pPr>
            <w:r>
              <w:rPr/>
              <w:t> </w:t>
            </w:r>
          </w:p>
        </w:tc>
        <w:tc>
          <w:tcPr>
            <w:tcW w:w="1606" w:type="dxa"/>
            <w:tcBorders/>
            <w:tcMar>
              <w:top w:w="0" w:type="dxa"/>
              <w:left w:w="0" w:type="dxa"/>
              <w:bottom w:w="0" w:type="dxa"/>
              <w:right w:w="0" w:type="dxa"/>
            </w:tcMar>
            <w:vAlign w:val="center"/>
          </w:tcPr>
          <w:p>
            <w:pPr>
              <w:pStyle w:val="TableContents"/>
              <w:bidi w:val="0"/>
              <w:spacing w:before="40" w:after="40"/>
              <w:jc w:val="center"/>
              <w:rPr>
                <w:rFonts w:ascii="Arial" w:hAnsi="Arial"/>
                <w:b/>
                <w:color w:val="000000"/>
                <w:sz w:val="18"/>
              </w:rPr>
            </w:pPr>
            <w:r>
              <w:rPr>
                <w:rFonts w:ascii="Arial" w:hAnsi="Arial"/>
                <w:b/>
                <w:color w:val="000000"/>
                <w:sz w:val="18"/>
              </w:rPr>
              <w:t>Trading symbol(s)</w:t>
            </w:r>
          </w:p>
        </w:tc>
        <w:tc>
          <w:tcPr>
            <w:tcW w:w="146" w:type="dxa"/>
            <w:tcBorders/>
            <w:tcMar>
              <w:top w:w="0" w:type="dxa"/>
              <w:left w:w="0" w:type="dxa"/>
              <w:bottom w:w="0" w:type="dxa"/>
              <w:right w:w="0" w:type="dxa"/>
            </w:tcMar>
            <w:vAlign w:val="center"/>
          </w:tcPr>
          <w:p>
            <w:pPr>
              <w:pStyle w:val="TableContents"/>
              <w:bidi w:val="0"/>
              <w:spacing w:before="40" w:after="40"/>
              <w:jc w:val="left"/>
              <w:rPr/>
            </w:pPr>
            <w:r>
              <w:rPr/>
              <w:t> </w:t>
            </w:r>
          </w:p>
        </w:tc>
        <w:tc>
          <w:tcPr>
            <w:tcW w:w="3812" w:type="dxa"/>
            <w:tcBorders/>
            <w:tcMar>
              <w:top w:w="0" w:type="dxa"/>
              <w:left w:w="0" w:type="dxa"/>
              <w:bottom w:w="0" w:type="dxa"/>
              <w:right w:w="0" w:type="dxa"/>
            </w:tcMar>
            <w:vAlign w:val="center"/>
          </w:tcPr>
          <w:p>
            <w:pPr>
              <w:pStyle w:val="TableContents"/>
              <w:bidi w:val="0"/>
              <w:spacing w:before="40" w:after="40"/>
              <w:jc w:val="center"/>
              <w:rPr>
                <w:rFonts w:ascii="Arial" w:hAnsi="Arial"/>
                <w:b/>
                <w:color w:val="000000"/>
                <w:sz w:val="18"/>
              </w:rPr>
            </w:pPr>
            <w:r>
              <w:rPr>
                <w:rFonts w:ascii="Arial" w:hAnsi="Arial"/>
                <w:b/>
                <w:color w:val="000000"/>
                <w:sz w:val="18"/>
              </w:rPr>
              <w:t>Name of each exchange on which registered</w:t>
            </w:r>
          </w:p>
        </w:tc>
      </w:tr>
      <w:tr>
        <w:trPr/>
        <w:tc>
          <w:tcPr>
            <w:tcW w:w="4495" w:type="dxa"/>
            <w:tcBorders/>
            <w:tcMar>
              <w:top w:w="0" w:type="dxa"/>
              <w:left w:w="0" w:type="dxa"/>
              <w:bottom w:w="0" w:type="dxa"/>
              <w:right w:w="0" w:type="dxa"/>
            </w:tcMar>
            <w:vAlign w:val="center"/>
          </w:tcPr>
          <w:p>
            <w:pPr>
              <w:pStyle w:val="TableContents"/>
              <w:bidi w:val="0"/>
              <w:spacing w:before="40" w:after="40"/>
              <w:jc w:val="center"/>
              <w:rPr>
                <w:rFonts w:ascii="Arial" w:hAnsi="Arial"/>
                <w:color w:val="000000"/>
                <w:sz w:val="18"/>
              </w:rPr>
            </w:pPr>
            <w:r>
              <w:rPr>
                <w:rFonts w:ascii="Arial" w:hAnsi="Arial"/>
                <w:color w:val="000000"/>
                <w:sz w:val="18"/>
              </w:rPr>
              <w:t xml:space="preserve">Class A Common Stock, $0.000025 par value per share </w:t>
            </w:r>
          </w:p>
        </w:tc>
        <w:tc>
          <w:tcPr>
            <w:tcW w:w="146" w:type="dxa"/>
            <w:tcBorders/>
            <w:tcMar>
              <w:top w:w="0" w:type="dxa"/>
              <w:left w:w="0" w:type="dxa"/>
              <w:bottom w:w="0" w:type="dxa"/>
              <w:right w:w="0" w:type="dxa"/>
            </w:tcMar>
            <w:vAlign w:val="center"/>
          </w:tcPr>
          <w:p>
            <w:pPr>
              <w:pStyle w:val="TableContents"/>
              <w:bidi w:val="0"/>
              <w:spacing w:before="40" w:after="40"/>
              <w:jc w:val="left"/>
              <w:rPr/>
            </w:pPr>
            <w:r>
              <w:rPr/>
              <w:t> </w:t>
            </w:r>
          </w:p>
        </w:tc>
        <w:tc>
          <w:tcPr>
            <w:tcW w:w="1606" w:type="dxa"/>
            <w:tcBorders/>
            <w:tcMar>
              <w:top w:w="0" w:type="dxa"/>
              <w:left w:w="0" w:type="dxa"/>
              <w:bottom w:w="0" w:type="dxa"/>
              <w:right w:w="0" w:type="dxa"/>
            </w:tcMar>
            <w:vAlign w:val="center"/>
          </w:tcPr>
          <w:p>
            <w:pPr>
              <w:pStyle w:val="TableContents"/>
              <w:bidi w:val="0"/>
              <w:spacing w:before="40" w:after="40"/>
              <w:jc w:val="center"/>
              <w:rPr>
                <w:rFonts w:ascii="Arial" w:hAnsi="Arial"/>
                <w:color w:val="000000"/>
                <w:sz w:val="18"/>
              </w:rPr>
            </w:pPr>
            <w:r>
              <w:rPr>
                <w:rFonts w:ascii="Arial" w:hAnsi="Arial"/>
                <w:color w:val="000000"/>
                <w:sz w:val="18"/>
              </w:rPr>
              <w:t xml:space="preserve">NTNX </w:t>
            </w:r>
          </w:p>
        </w:tc>
        <w:tc>
          <w:tcPr>
            <w:tcW w:w="146" w:type="dxa"/>
            <w:tcBorders/>
            <w:tcMar>
              <w:top w:w="0" w:type="dxa"/>
              <w:left w:w="0" w:type="dxa"/>
              <w:bottom w:w="0" w:type="dxa"/>
              <w:right w:w="0" w:type="dxa"/>
            </w:tcMar>
            <w:vAlign w:val="center"/>
          </w:tcPr>
          <w:p>
            <w:pPr>
              <w:pStyle w:val="TableContents"/>
              <w:bidi w:val="0"/>
              <w:spacing w:before="40" w:after="40"/>
              <w:jc w:val="left"/>
              <w:rPr/>
            </w:pPr>
            <w:r>
              <w:rPr/>
              <w:t> </w:t>
            </w:r>
          </w:p>
        </w:tc>
        <w:tc>
          <w:tcPr>
            <w:tcW w:w="3812" w:type="dxa"/>
            <w:tcBorders/>
            <w:tcMar>
              <w:top w:w="0" w:type="dxa"/>
              <w:left w:w="0" w:type="dxa"/>
              <w:bottom w:w="0" w:type="dxa"/>
              <w:right w:w="0" w:type="dxa"/>
            </w:tcMar>
            <w:vAlign w:val="center"/>
          </w:tcPr>
          <w:p>
            <w:pPr>
              <w:pStyle w:val="TableContents"/>
              <w:bidi w:val="0"/>
              <w:spacing w:before="40" w:after="40"/>
              <w:jc w:val="center"/>
              <w:rPr>
                <w:rFonts w:ascii="Times New Roman" w:hAnsi="Times New Roman"/>
                <w:sz w:val="20"/>
              </w:rPr>
            </w:pPr>
            <w:r>
              <w:rPr>
                <w:rFonts w:ascii="Arial" w:hAnsi="Arial"/>
                <w:color w:val="000000"/>
                <w:sz w:val="18"/>
              </w:rPr>
              <w:t>The Nasdaq</w:t>
            </w:r>
            <w:r>
              <w:rPr>
                <w:rFonts w:ascii="Times New Roman" w:hAnsi="Times New Roman"/>
                <w:color w:val="000000"/>
                <w:sz w:val="20"/>
              </w:rPr>
              <w:t> </w:t>
            </w:r>
            <w:r>
              <w:rPr>
                <w:rFonts w:ascii="Arial" w:hAnsi="Arial"/>
                <w:color w:val="000000"/>
                <w:sz w:val="18"/>
              </w:rPr>
              <w:t>Global Select Market</w:t>
            </w:r>
          </w:p>
        </w:tc>
      </w:tr>
    </w:tbl>
    <w:p>
      <w:pPr>
        <w:pStyle w:val="TextBody"/>
        <w:bidi w:val="0"/>
        <w:spacing w:before="240" w:after="40"/>
        <w:jc w:val="left"/>
        <w:rPr>
          <w:rFonts w:ascii="Arial" w:hAnsi="Arial"/>
          <w:color w:val="000000"/>
          <w:sz w:val="18"/>
        </w:rPr>
      </w:pPr>
      <w:r>
        <w:rPr>
          <w:rFonts w:ascii="Arial" w:hAnsi="Arial"/>
          <w:color w:val="000000"/>
          <w:sz w:val="18"/>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40"/>
        <w:jc w:val="left"/>
        <w:rPr>
          <w:rFonts w:ascii="Times New Roman" w:hAnsi="Times New Roman"/>
          <w:sz w:val="20"/>
        </w:rPr>
      </w:pPr>
      <w:r>
        <w:rPr>
          <w:rFonts w:ascii="Arial" w:hAnsi="Arial"/>
          <w:color w:val="000000"/>
          <w:sz w:val="18"/>
        </w:rPr>
        <w:t xml:space="preserve">Emerging growth company </w:t>
      </w:r>
      <w:r>
        <w:rPr>
          <w:rFonts w:ascii="Times New Roman" w:hAnsi="Times New Roman"/>
          <w:color w:val="000000"/>
          <w:sz w:val="20"/>
        </w:rPr>
        <w:t>☐</w:t>
      </w:r>
    </w:p>
    <w:p>
      <w:pPr>
        <w:pStyle w:val="TextBody"/>
        <w:bidi w:val="0"/>
        <w:spacing w:before="0" w:after="40"/>
        <w:jc w:val="left"/>
        <w:rPr/>
      </w:pPr>
      <w:r>
        <w:rPr/>
        <w:t> </w:t>
      </w:r>
    </w:p>
    <w:p>
      <w:pPr>
        <w:pStyle w:val="TextBody"/>
        <w:bidi w:val="0"/>
        <w:spacing w:before="0" w:after="40"/>
        <w:jc w:val="left"/>
        <w:rPr>
          <w:rFonts w:ascii="Times New Roman" w:hAnsi="Times New Roman"/>
          <w:sz w:val="20"/>
        </w:rPr>
      </w:pPr>
      <w:r>
        <w:rPr>
          <w:rFonts w:ascii="Arial" w:hAnsi="Arial"/>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Arial" w:hAnsi="Arial"/>
          <w:b/>
          <w:color w:val="000000"/>
          <w:sz w:val="20"/>
        </w:rPr>
      </w:pPr>
      <w:r>
        <w:rPr>
          <w:rFonts w:ascii="Arial" w:hAnsi="Arial"/>
          <w:b/>
          <w:color w:val="000000"/>
          <w:sz w:val="20"/>
        </w:rPr>
        <w:t>Item 2.05 Costs Associated with Exit or Disposal Activities.</w:t>
      </w:r>
    </w:p>
    <w:p>
      <w:pPr>
        <w:pStyle w:val="TextBody"/>
        <w:bidi w:val="0"/>
        <w:spacing w:before="240" w:after="283"/>
        <w:jc w:val="both"/>
        <w:rPr>
          <w:rFonts w:ascii="Arial" w:hAnsi="Arial"/>
          <w:color w:val="000000"/>
          <w:sz w:val="20"/>
        </w:rPr>
      </w:pPr>
      <w:r>
        <w:rPr>
          <w:rFonts w:ascii="Arial" w:hAnsi="Arial"/>
          <w:color w:val="000000"/>
          <w:sz w:val="20"/>
        </w:rPr>
        <w:t>On August 4, 2026, Nutanix, Inc. (the “Company”) announced a plan to reduce its global workforce by approximately 5%, following a review of its business structure. The workforce reduction is intended to streamline and realign the Company’s organizational structure, improve operational efficiency and agility, and reallocate resources toward strategic priorities and long-term growth objectives. The ultimate scope, timing and implementation of the workforce reduction may vary by jurisdiction and remain subject to applicable local law requirements, consultation processes, engagement with employee representative bodies (including works councils where applicable), and other implementation considerations. The Company currently expects to substantially complete the workforce reduction by the end of October 2026. The Company currently estimates that it will incur aggregate pre-tax charges of approximately $33 million to $43 million as part of the workforce reduction, primarily consisting of one-time severance and other termination benefit costs, a substantial majority of which are expected to result in future cash expenditures. These estimates are subject to several assumptions, including applicable local law requirements, consultation obligations, and works council processes in certain jurisdictions, and actual charges may differ materially from current estimates.</w:t>
      </w:r>
    </w:p>
    <w:p>
      <w:pPr>
        <w:pStyle w:val="TextBody"/>
        <w:bidi w:val="0"/>
        <w:spacing w:before="240" w:after="283"/>
        <w:jc w:val="both"/>
        <w:rPr>
          <w:rFonts w:ascii="Arial" w:hAnsi="Arial"/>
          <w:i/>
          <w:color w:val="000000"/>
          <w:sz w:val="20"/>
        </w:rPr>
      </w:pPr>
      <w:r>
        <w:rPr>
          <w:rFonts w:ascii="Arial" w:hAnsi="Arial"/>
          <w:i/>
          <w:color w:val="000000"/>
          <w:sz w:val="20"/>
        </w:rPr>
        <w:t>Forward-Looking Statements</w:t>
      </w:r>
    </w:p>
    <w:p>
      <w:pPr>
        <w:pStyle w:val="TextBody"/>
        <w:bidi w:val="0"/>
        <w:spacing w:before="240" w:after="283"/>
        <w:jc w:val="both"/>
        <w:rPr>
          <w:rFonts w:ascii="Arial" w:hAnsi="Arial"/>
          <w:color w:val="000000"/>
          <w:sz w:val="20"/>
        </w:rPr>
      </w:pPr>
      <w:r>
        <w:rPr>
          <w:rFonts w:ascii="Arial" w:hAnsi="Arial"/>
          <w:color w:val="000000"/>
          <w:sz w:val="20"/>
        </w:rPr>
        <w:t>This Current Report on Form 8-K contains express and implied forward-looking statements, including, but not limited to, statements regarding: (i) the expected scope, timing, and completion of the workforce reduction; (ii) the expected benefits and outcomes of the workforce reduction; (iii) the Company’s estimates regarding the charges, costs and expenditures expected to be incurred in connection with the workforce reduction; and (iv) the timing of recognizing such charges and expenditures. These forward-looking statements are not historical facts and instead are based on the Company’s current expectations, estimates, assumptions, opinions and beliefs. Consequently, you should not rely on these forward-looking statements. The accuracy of these forward-looking statements depends upon future events and involves risks, uncertainties and other factors, many of which are beyond the Company’s control, that could cause actual results, performance or achievements to differ materially from those anticipated or implied by such statements. These risks and uncertainties include, among others, the Company’s ability to successfully implement the workforce reduction, including completing any required consultation processes and satisfying applicable local law requirements, the possibility that the expected benefits may not be realized as anticipated, changes in the assumptions underlying the estimated charges, and other risks detailed in the Company’s Annual Report on Form 10-K for the fiscal year ended July 31, 2025 filed with the U.S. Securities and Exchange Commission (the “SEC”) on September 24, 2025, and the Company’s subsequent Quarterly Reports on Form 10-Q and other filings with the SEC. These forward-looking statements speak only as of the date of this Current Report on Form 8-K and, except as required by law, the Company assumes no obligation, and expressly disclaims any obligation, to update, alter or otherwise revise any forward-looking statements to reflect actual results or subsequent events or circumstances.</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Arial" w:hAnsi="Arial"/>
          <w:b/>
          <w:color w:val="000000"/>
          <w:sz w:val="20"/>
        </w:rPr>
      </w:pPr>
      <w:bookmarkStart w:id="2" w:name="section3"/>
      <w:bookmarkEnd w:id="2"/>
      <w:r>
        <w:rPr>
          <w:rFonts w:ascii="Arial" w:hAnsi="Arial"/>
          <w:b/>
          <w:color w:val="000000"/>
          <w:sz w:val="20"/>
        </w:rPr>
        <w:t>SIGNATURES</w:t>
      </w:r>
    </w:p>
    <w:p>
      <w:pPr>
        <w:pStyle w:val="TextBody"/>
        <w:bidi w:val="0"/>
        <w:spacing w:before="0" w:after="160"/>
        <w:jc w:val="left"/>
        <w:rPr>
          <w:rFonts w:ascii="Arial" w:hAnsi="Arial"/>
          <w:color w:val="000000"/>
          <w:sz w:val="20"/>
        </w:rPr>
      </w:pPr>
      <w:r>
        <w:rPr>
          <w:rFonts w:ascii="Arial" w:hAnsi="Arial"/>
          <w:color w:val="000000"/>
          <w:sz w:val="20"/>
        </w:rPr>
        <w:t>Pursuant to the requirements of the Securities Exchange Act of 1934, the registrant has duly caused this report to be signed on its behalf by the undersigned hereunto duly authorized.</w:t>
      </w:r>
    </w:p>
    <w:tbl>
      <w:tblPr>
        <w:tblW w:w="4503" w:type="dxa"/>
        <w:jc w:val="left"/>
        <w:tblInd w:w="0" w:type="dxa"/>
        <w:tblLayout w:type="fixed"/>
        <w:tblCellMar>
          <w:top w:w="28" w:type="dxa"/>
          <w:left w:w="28" w:type="dxa"/>
          <w:bottom w:w="28" w:type="dxa"/>
          <w:right w:w="28" w:type="dxa"/>
        </w:tblCellMar>
      </w:tblPr>
      <w:tblGrid>
        <w:gridCol w:w="1966"/>
        <w:gridCol w:w="406"/>
        <w:gridCol w:w="2131"/>
      </w:tblGrid>
      <w:tr>
        <w:trPr/>
        <w:tc>
          <w:tcPr>
            <w:tcW w:w="196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131" w:type="dxa"/>
            <w:tcBorders/>
            <w:vAlign w:val="center"/>
          </w:tcPr>
          <w:p>
            <w:pPr>
              <w:pStyle w:val="TableContents"/>
              <w:bidi w:val="0"/>
              <w:spacing w:before="0" w:after="283"/>
              <w:jc w:val="left"/>
              <w:rPr>
                <w:sz w:val="4"/>
                <w:szCs w:val="4"/>
              </w:rPr>
            </w:pPr>
            <w:r>
              <w:rPr>
                <w:sz w:val="4"/>
                <w:szCs w:val="4"/>
              </w:rPr>
            </w:r>
          </w:p>
        </w:tc>
      </w:tr>
      <w:tr>
        <w:trPr/>
        <w:tc>
          <w:tcPr>
            <w:tcW w:w="196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2131" w:type="dxa"/>
            <w:tcBorders/>
            <w:tcMar>
              <w:top w:w="0" w:type="dxa"/>
              <w:left w:w="0" w:type="dxa"/>
              <w:bottom w:w="0" w:type="dxa"/>
              <w:right w:w="0" w:type="dxa"/>
            </w:tcMar>
            <w:vAlign w:val="center"/>
          </w:tcPr>
          <w:p>
            <w:pPr>
              <w:pStyle w:val="TableContents"/>
              <w:bidi w:val="0"/>
              <w:spacing w:before="53" w:after="30"/>
              <w:jc w:val="left"/>
              <w:rPr>
                <w:rFonts w:ascii="Arial" w:hAnsi="Arial"/>
                <w:b/>
                <w:color w:val="000000"/>
                <w:sz w:val="20"/>
              </w:rPr>
            </w:pPr>
            <w:r>
              <w:rPr>
                <w:rFonts w:ascii="Arial" w:hAnsi="Arial"/>
                <w:b/>
                <w:color w:val="000000"/>
                <w:sz w:val="20"/>
              </w:rPr>
              <w:t>NUTANIX, INC.</w:t>
            </w:r>
          </w:p>
        </w:tc>
      </w:tr>
      <w:tr>
        <w:trPr/>
        <w:tc>
          <w:tcPr>
            <w:tcW w:w="196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213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66" w:type="dxa"/>
            <w:tcBorders/>
            <w:tcMar>
              <w:top w:w="0" w:type="dxa"/>
              <w:left w:w="0" w:type="dxa"/>
              <w:bottom w:w="0" w:type="dxa"/>
              <w:right w:w="0" w:type="dxa"/>
            </w:tcMar>
            <w:vAlign w:val="center"/>
          </w:tcPr>
          <w:p>
            <w:pPr>
              <w:pStyle w:val="TableContents"/>
              <w:bidi w:val="0"/>
              <w:spacing w:before="53" w:after="30"/>
              <w:jc w:val="left"/>
              <w:rPr>
                <w:rFonts w:ascii="Arial" w:hAnsi="Arial"/>
                <w:color w:val="000000"/>
                <w:sz w:val="20"/>
              </w:rPr>
            </w:pPr>
            <w:r>
              <w:rPr>
                <w:rFonts w:ascii="Arial" w:hAnsi="Arial"/>
                <w:color w:val="000000"/>
                <w:sz w:val="20"/>
              </w:rPr>
              <w:t>Date: August 4, 2026</w:t>
            </w:r>
          </w:p>
        </w:tc>
        <w:tc>
          <w:tcPr>
            <w:tcW w:w="406" w:type="dxa"/>
            <w:tcBorders/>
            <w:tcMar>
              <w:top w:w="0" w:type="dxa"/>
              <w:left w:w="0" w:type="dxa"/>
              <w:bottom w:w="0" w:type="dxa"/>
              <w:right w:w="0" w:type="dxa"/>
            </w:tcMar>
            <w:vAlign w:val="center"/>
          </w:tcPr>
          <w:p>
            <w:pPr>
              <w:pStyle w:val="TableContents"/>
              <w:bidi w:val="0"/>
              <w:spacing w:before="53" w:after="30"/>
              <w:jc w:val="right"/>
              <w:rPr>
                <w:rFonts w:ascii="Arial" w:hAnsi="Arial"/>
                <w:color w:val="000000"/>
                <w:sz w:val="20"/>
              </w:rPr>
            </w:pPr>
            <w:r>
              <w:rPr>
                <w:rFonts w:ascii="Arial" w:hAnsi="Arial"/>
                <w:color w:val="000000"/>
                <w:sz w:val="20"/>
              </w:rPr>
              <w:t>By:</w:t>
            </w:r>
          </w:p>
        </w:tc>
        <w:tc>
          <w:tcPr>
            <w:tcW w:w="2131" w:type="dxa"/>
            <w:tcBorders/>
            <w:tcMar>
              <w:top w:w="0" w:type="dxa"/>
              <w:left w:w="0" w:type="dxa"/>
              <w:bottom w:w="0" w:type="dxa"/>
              <w:right w:w="0" w:type="dxa"/>
            </w:tcMar>
            <w:vAlign w:val="center"/>
          </w:tcPr>
          <w:p>
            <w:pPr>
              <w:pStyle w:val="TableContents"/>
              <w:bidi w:val="0"/>
              <w:spacing w:before="53" w:after="30"/>
              <w:jc w:val="left"/>
              <w:rPr>
                <w:rFonts w:ascii="Arial" w:hAnsi="Arial"/>
                <w:i/>
                <w:color w:val="000000"/>
                <w:sz w:val="20"/>
                <w:u w:val="single"/>
              </w:rPr>
            </w:pPr>
            <w:r>
              <w:rPr>
                <w:rFonts w:ascii="Arial" w:hAnsi="Arial"/>
                <w:i/>
                <w:color w:val="000000"/>
                <w:sz w:val="20"/>
                <w:u w:val="single"/>
              </w:rPr>
              <w:t>/s/ Rukmini Sivaraman</w:t>
            </w:r>
          </w:p>
        </w:tc>
      </w:tr>
      <w:tr>
        <w:trPr/>
        <w:tc>
          <w:tcPr>
            <w:tcW w:w="196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2131" w:type="dxa"/>
            <w:tcBorders/>
            <w:tcMar>
              <w:top w:w="0" w:type="dxa"/>
              <w:left w:w="0" w:type="dxa"/>
              <w:bottom w:w="0" w:type="dxa"/>
              <w:right w:w="0" w:type="dxa"/>
            </w:tcMar>
            <w:vAlign w:val="center"/>
          </w:tcPr>
          <w:p>
            <w:pPr>
              <w:pStyle w:val="TableContents"/>
              <w:bidi w:val="0"/>
              <w:spacing w:before="53" w:after="30"/>
              <w:jc w:val="left"/>
              <w:rPr>
                <w:rFonts w:ascii="Arial" w:hAnsi="Arial"/>
                <w:color w:val="000000"/>
                <w:sz w:val="20"/>
              </w:rPr>
            </w:pPr>
            <w:r>
              <w:rPr>
                <w:rFonts w:ascii="Arial" w:hAnsi="Arial"/>
                <w:color w:val="000000"/>
                <w:sz w:val="20"/>
              </w:rPr>
              <w:t>Rukmini Sivaraman</w:t>
            </w:r>
          </w:p>
        </w:tc>
      </w:tr>
      <w:tr>
        <w:trPr/>
        <w:tc>
          <w:tcPr>
            <w:tcW w:w="196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2131" w:type="dxa"/>
            <w:tcBorders/>
            <w:tcMar>
              <w:top w:w="0" w:type="dxa"/>
              <w:left w:w="0" w:type="dxa"/>
              <w:bottom w:w="0" w:type="dxa"/>
              <w:right w:w="0" w:type="dxa"/>
            </w:tcMar>
            <w:vAlign w:val="center"/>
          </w:tcPr>
          <w:p>
            <w:pPr>
              <w:pStyle w:val="TableContents"/>
              <w:bidi w:val="0"/>
              <w:spacing w:before="0" w:after="30"/>
              <w:jc w:val="left"/>
              <w:rPr>
                <w:rFonts w:ascii="Arial" w:hAnsi="Arial"/>
                <w:color w:val="000000"/>
                <w:sz w:val="20"/>
              </w:rPr>
            </w:pPr>
            <w:r>
              <w:rPr>
                <w:rFonts w:ascii="Arial" w:hAnsi="Arial"/>
                <w:color w:val="000000"/>
                <w:sz w:val="20"/>
              </w:rPr>
              <w:t>Chief Financial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845</Words>
  <Characters>5007</Characters>
  <CharactersWithSpaces>5840</CharactersWithSpaces>
  <Paragraphs>80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