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August 28, 2019</w:t>
      </w:r>
    </w:p>
    <w:p>
      <w:pPr>
        <w:spacing w:after="0" w:line="31" w:lineRule="exact"/>
        <w:rPr>
          <w:sz w:val="24"/>
          <w:szCs w:val="24"/>
          <w:color w:val="auto"/>
        </w:rPr>
      </w:pPr>
    </w:p>
    <w:p>
      <w:pPr>
        <w:ind w:left="9020"/>
        <w:spacing w:after="0"/>
        <w:rPr>
          <w:sz w:val="20"/>
          <w:szCs w:val="20"/>
          <w:color w:val="auto"/>
        </w:rPr>
      </w:pPr>
      <w:r>
        <w:rPr>
          <w:rFonts w:ascii="Arial" w:cs="Arial" w:eastAsia="Arial" w:hAnsi="Arial"/>
          <w:sz w:val="18"/>
          <w:szCs w:val="18"/>
          <w:b w:val="1"/>
          <w:bCs w:val="1"/>
          <w:color w:val="auto"/>
        </w:rPr>
        <w:t>Registration No. 333-</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23" w:lineRule="exact"/>
        <w:rPr>
          <w:sz w:val="24"/>
          <w:szCs w:val="24"/>
          <w:color w:val="auto"/>
        </w:rPr>
      </w:pPr>
    </w:p>
    <w:tbl>
      <w:tblPr>
        <w:tblLayout w:type="fixed"/>
        <w:tblInd w:w="1580" w:type="dxa"/>
        <w:tblCellMar>
          <w:top w:w="0" w:type="dxa"/>
          <w:left w:w="0" w:type="dxa"/>
          <w:bottom w:w="0" w:type="dxa"/>
          <w:right w:w="0" w:type="dxa"/>
        </w:tblCellMar>
      </w:tblPr>
      <w:tr>
        <w:trPr>
          <w:trHeight w:val="485"/>
        </w:trPr>
        <w:tc>
          <w:tcPr>
            <w:tcW w:w="1960" w:type="dxa"/>
            <w:vAlign w:val="bottom"/>
          </w:tcPr>
          <w:p>
            <w:pPr>
              <w:spacing w:after="0"/>
              <w:rPr>
                <w:sz w:val="24"/>
                <w:szCs w:val="24"/>
                <w:color w:val="auto"/>
              </w:rPr>
            </w:pPr>
          </w:p>
        </w:tc>
        <w:tc>
          <w:tcPr>
            <w:tcW w:w="6000" w:type="dxa"/>
            <w:vAlign w:val="bottom"/>
          </w:tcPr>
          <w:p>
            <w:pPr>
              <w:jc w:val="center"/>
              <w:ind w:right="1575"/>
              <w:spacing w:after="0"/>
              <w:rPr>
                <w:sz w:val="20"/>
                <w:szCs w:val="20"/>
                <w:color w:val="auto"/>
              </w:rPr>
            </w:pPr>
            <w:r>
              <w:rPr>
                <w:rFonts w:ascii="Arial" w:cs="Arial" w:eastAsia="Arial" w:hAnsi="Arial"/>
                <w:sz w:val="40"/>
                <w:szCs w:val="40"/>
                <w:b w:val="1"/>
                <w:bCs w:val="1"/>
                <w:color w:val="auto"/>
                <w:w w:val="97"/>
              </w:rPr>
              <w:t>NUTANIX, INC.</w:t>
            </w:r>
          </w:p>
        </w:tc>
      </w:tr>
      <w:tr>
        <w:trPr>
          <w:trHeight w:val="215"/>
        </w:trPr>
        <w:tc>
          <w:tcPr>
            <w:tcW w:w="1960" w:type="dxa"/>
            <w:vAlign w:val="bottom"/>
          </w:tcPr>
          <w:p>
            <w:pPr>
              <w:spacing w:after="0"/>
              <w:rPr>
                <w:sz w:val="18"/>
                <w:szCs w:val="18"/>
                <w:color w:val="auto"/>
              </w:rPr>
            </w:pPr>
          </w:p>
        </w:tc>
        <w:tc>
          <w:tcPr>
            <w:tcW w:w="6000" w:type="dxa"/>
            <w:vAlign w:val="bottom"/>
          </w:tcPr>
          <w:p>
            <w:pPr>
              <w:jc w:val="center"/>
              <w:ind w:right="1555"/>
              <w:spacing w:after="0"/>
              <w:rPr>
                <w:sz w:val="20"/>
                <w:szCs w:val="20"/>
                <w:color w:val="auto"/>
              </w:rPr>
            </w:pPr>
            <w:r>
              <w:rPr>
                <w:rFonts w:ascii="Arial" w:cs="Arial" w:eastAsia="Arial" w:hAnsi="Arial"/>
                <w:sz w:val="16"/>
                <w:szCs w:val="16"/>
                <w:b w:val="1"/>
                <w:bCs w:val="1"/>
                <w:color w:val="auto"/>
              </w:rPr>
              <w:t>(Exact name of Registrant as specified in its charter)</w:t>
            </w:r>
          </w:p>
        </w:tc>
      </w:tr>
      <w:tr>
        <w:trPr>
          <w:trHeight w:val="538"/>
        </w:trPr>
        <w:tc>
          <w:tcPr>
            <w:tcW w:w="1960" w:type="dxa"/>
            <w:vAlign w:val="bottom"/>
          </w:tcPr>
          <w:p>
            <w:pPr>
              <w:jc w:val="center"/>
              <w:ind w:right="91"/>
              <w:spacing w:after="0"/>
              <w:rPr>
                <w:sz w:val="20"/>
                <w:szCs w:val="20"/>
                <w:color w:val="auto"/>
              </w:rPr>
            </w:pPr>
            <w:r>
              <w:rPr>
                <w:rFonts w:ascii="Arial" w:cs="Arial" w:eastAsia="Arial" w:hAnsi="Arial"/>
                <w:sz w:val="16"/>
                <w:szCs w:val="16"/>
                <w:b w:val="1"/>
                <w:bCs w:val="1"/>
                <w:color w:val="auto"/>
              </w:rPr>
              <w:t>Delaware</w:t>
            </w:r>
          </w:p>
        </w:tc>
        <w:tc>
          <w:tcPr>
            <w:tcW w:w="6000" w:type="dxa"/>
            <w:vAlign w:val="bottom"/>
          </w:tcPr>
          <w:p>
            <w:pPr>
              <w:jc w:val="center"/>
              <w:ind w:left="4855"/>
              <w:spacing w:after="0"/>
              <w:rPr>
                <w:sz w:val="20"/>
                <w:szCs w:val="20"/>
                <w:color w:val="auto"/>
              </w:rPr>
            </w:pPr>
            <w:r>
              <w:rPr>
                <w:rFonts w:ascii="Arial" w:cs="Arial" w:eastAsia="Arial" w:hAnsi="Arial"/>
                <w:sz w:val="16"/>
                <w:szCs w:val="16"/>
                <w:b w:val="1"/>
                <w:bCs w:val="1"/>
                <w:color w:val="auto"/>
              </w:rPr>
              <w:t>27-0989767</w:t>
            </w:r>
          </w:p>
        </w:tc>
      </w:tr>
      <w:tr>
        <w:trPr>
          <w:trHeight w:val="135"/>
        </w:trPr>
        <w:tc>
          <w:tcPr>
            <w:tcW w:w="196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6000" w:type="dxa"/>
            <w:vAlign w:val="bottom"/>
          </w:tcPr>
          <w:p>
            <w:pPr>
              <w:jc w:val="center"/>
              <w:ind w:left="4855"/>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66"/>
        </w:trPr>
        <w:tc>
          <w:tcPr>
            <w:tcW w:w="1960" w:type="dxa"/>
            <w:vAlign w:val="bottom"/>
          </w:tcPr>
          <w:p>
            <w:pPr>
              <w:jc w:val="center"/>
              <w:ind w:right="91"/>
              <w:spacing w:after="0"/>
              <w:rPr>
                <w:sz w:val="20"/>
                <w:szCs w:val="20"/>
                <w:color w:val="auto"/>
              </w:rPr>
            </w:pPr>
            <w:r>
              <w:rPr>
                <w:rFonts w:ascii="Arial" w:cs="Arial" w:eastAsia="Arial" w:hAnsi="Arial"/>
                <w:sz w:val="13"/>
                <w:szCs w:val="13"/>
                <w:b w:val="1"/>
                <w:bCs w:val="1"/>
                <w:color w:val="auto"/>
                <w:w w:val="96"/>
              </w:rPr>
              <w:t>Incorporation or organization)</w:t>
            </w:r>
          </w:p>
        </w:tc>
        <w:tc>
          <w:tcPr>
            <w:tcW w:w="6000" w:type="dxa"/>
            <w:vAlign w:val="bottom"/>
          </w:tcPr>
          <w:p>
            <w:pPr>
              <w:jc w:val="center"/>
              <w:ind w:left="4855"/>
              <w:spacing w:after="0"/>
              <w:rPr>
                <w:sz w:val="20"/>
                <w:szCs w:val="20"/>
                <w:color w:val="auto"/>
              </w:rPr>
            </w:pPr>
            <w:r>
              <w:rPr>
                <w:rFonts w:ascii="Arial" w:cs="Arial" w:eastAsia="Arial" w:hAnsi="Arial"/>
                <w:sz w:val="13"/>
                <w:szCs w:val="13"/>
                <w:b w:val="1"/>
                <w:bCs w:val="1"/>
                <w:color w:val="auto"/>
                <w:w w:val="96"/>
              </w:rPr>
              <w:t>Identification No.)</w:t>
            </w:r>
          </w:p>
        </w:tc>
      </w:tr>
      <w:tr>
        <w:trPr>
          <w:trHeight w:val="189"/>
        </w:trPr>
        <w:tc>
          <w:tcPr>
            <w:tcW w:w="1960" w:type="dxa"/>
            <w:vAlign w:val="bottom"/>
          </w:tcPr>
          <w:p>
            <w:pPr>
              <w:spacing w:after="0"/>
              <w:rPr>
                <w:sz w:val="16"/>
                <w:szCs w:val="16"/>
                <w:color w:val="auto"/>
              </w:rPr>
            </w:pPr>
          </w:p>
        </w:tc>
        <w:tc>
          <w:tcPr>
            <w:tcW w:w="6000" w:type="dxa"/>
            <w:vAlign w:val="bottom"/>
          </w:tcPr>
          <w:p>
            <w:pPr>
              <w:jc w:val="center"/>
              <w:ind w:right="1555"/>
              <w:spacing w:after="0"/>
              <w:rPr>
                <w:sz w:val="20"/>
                <w:szCs w:val="20"/>
                <w:color w:val="auto"/>
              </w:rPr>
            </w:pPr>
            <w:r>
              <w:rPr>
                <w:rFonts w:ascii="Arial" w:cs="Arial" w:eastAsia="Arial" w:hAnsi="Arial"/>
                <w:sz w:val="16"/>
                <w:szCs w:val="16"/>
                <w:b w:val="1"/>
                <w:bCs w:val="1"/>
                <w:color w:val="auto"/>
              </w:rPr>
              <w:t>1740 Technology Drive, Suite 150</w:t>
            </w:r>
          </w:p>
        </w:tc>
      </w:tr>
      <w:tr>
        <w:trPr>
          <w:trHeight w:val="185"/>
        </w:trPr>
        <w:tc>
          <w:tcPr>
            <w:tcW w:w="1960" w:type="dxa"/>
            <w:vAlign w:val="bottom"/>
          </w:tcPr>
          <w:p>
            <w:pPr>
              <w:spacing w:after="0"/>
              <w:rPr>
                <w:sz w:val="16"/>
                <w:szCs w:val="16"/>
                <w:color w:val="auto"/>
              </w:rPr>
            </w:pPr>
          </w:p>
        </w:tc>
        <w:tc>
          <w:tcPr>
            <w:tcW w:w="6000" w:type="dxa"/>
            <w:vAlign w:val="bottom"/>
          </w:tcPr>
          <w:p>
            <w:pPr>
              <w:jc w:val="center"/>
              <w:ind w:right="1555"/>
              <w:spacing w:after="0"/>
              <w:rPr>
                <w:sz w:val="20"/>
                <w:szCs w:val="20"/>
                <w:color w:val="auto"/>
              </w:rPr>
            </w:pPr>
            <w:r>
              <w:rPr>
                <w:rFonts w:ascii="Arial" w:cs="Arial" w:eastAsia="Arial" w:hAnsi="Arial"/>
                <w:sz w:val="16"/>
                <w:szCs w:val="16"/>
                <w:b w:val="1"/>
                <w:bCs w:val="1"/>
                <w:color w:val="auto"/>
              </w:rPr>
              <w:t>San Jose, California 95110</w:t>
            </w:r>
          </w:p>
        </w:tc>
      </w:tr>
      <w:tr>
        <w:trPr>
          <w:trHeight w:val="168"/>
        </w:trPr>
        <w:tc>
          <w:tcPr>
            <w:tcW w:w="1960" w:type="dxa"/>
            <w:vAlign w:val="bottom"/>
          </w:tcPr>
          <w:p>
            <w:pPr>
              <w:spacing w:after="0"/>
              <w:rPr>
                <w:sz w:val="14"/>
                <w:szCs w:val="14"/>
                <w:color w:val="auto"/>
              </w:rPr>
            </w:pPr>
          </w:p>
        </w:tc>
        <w:tc>
          <w:tcPr>
            <w:tcW w:w="6000" w:type="dxa"/>
            <w:vAlign w:val="bottom"/>
          </w:tcPr>
          <w:p>
            <w:pPr>
              <w:jc w:val="center"/>
              <w:ind w:right="1555"/>
              <w:spacing w:after="0"/>
              <w:rPr>
                <w:sz w:val="20"/>
                <w:szCs w:val="20"/>
                <w:color w:val="auto"/>
              </w:rPr>
            </w:pPr>
            <w:r>
              <w:rPr>
                <w:rFonts w:ascii="Arial" w:cs="Arial" w:eastAsia="Arial" w:hAnsi="Arial"/>
                <w:sz w:val="13"/>
                <w:szCs w:val="13"/>
                <w:b w:val="1"/>
                <w:bCs w:val="1"/>
                <w:color w:val="auto"/>
                <w:w w:val="96"/>
              </w:rPr>
              <w:t>(Address of principal executive offices, including zip code)</w:t>
            </w:r>
          </w:p>
        </w:tc>
      </w:tr>
      <w:tr>
        <w:trPr>
          <w:trHeight w:val="390"/>
        </w:trPr>
        <w:tc>
          <w:tcPr>
            <w:tcW w:w="1960" w:type="dxa"/>
            <w:vAlign w:val="bottom"/>
          </w:tcPr>
          <w:p>
            <w:pPr>
              <w:spacing w:after="0"/>
              <w:rPr>
                <w:sz w:val="24"/>
                <w:szCs w:val="24"/>
                <w:color w:val="auto"/>
              </w:rPr>
            </w:pPr>
          </w:p>
        </w:tc>
        <w:tc>
          <w:tcPr>
            <w:tcW w:w="6000" w:type="dxa"/>
            <w:vAlign w:val="bottom"/>
          </w:tcPr>
          <w:p>
            <w:pPr>
              <w:jc w:val="center"/>
              <w:ind w:right="1555"/>
              <w:spacing w:after="0"/>
              <w:rPr>
                <w:sz w:val="20"/>
                <w:szCs w:val="20"/>
                <w:color w:val="auto"/>
              </w:rPr>
            </w:pPr>
            <w:r>
              <w:rPr>
                <w:rFonts w:ascii="Arial" w:cs="Arial" w:eastAsia="Arial" w:hAnsi="Arial"/>
                <w:sz w:val="16"/>
                <w:szCs w:val="16"/>
                <w:b w:val="1"/>
                <w:bCs w:val="1"/>
                <w:color w:val="auto"/>
              </w:rPr>
              <w:t>2016 Equity Incentive Plan</w:t>
            </w:r>
          </w:p>
        </w:tc>
      </w:tr>
      <w:tr>
        <w:trPr>
          <w:trHeight w:val="185"/>
        </w:trPr>
        <w:tc>
          <w:tcPr>
            <w:tcW w:w="1960" w:type="dxa"/>
            <w:vAlign w:val="bottom"/>
          </w:tcPr>
          <w:p>
            <w:pPr>
              <w:spacing w:after="0"/>
              <w:rPr>
                <w:sz w:val="16"/>
                <w:szCs w:val="16"/>
                <w:color w:val="auto"/>
              </w:rPr>
            </w:pPr>
          </w:p>
        </w:tc>
        <w:tc>
          <w:tcPr>
            <w:tcW w:w="6000" w:type="dxa"/>
            <w:vAlign w:val="bottom"/>
          </w:tcPr>
          <w:p>
            <w:pPr>
              <w:jc w:val="center"/>
              <w:ind w:right="1575"/>
              <w:spacing w:after="0"/>
              <w:rPr>
                <w:sz w:val="20"/>
                <w:szCs w:val="20"/>
                <w:color w:val="auto"/>
              </w:rPr>
            </w:pPr>
            <w:r>
              <w:rPr>
                <w:rFonts w:ascii="Arial" w:cs="Arial" w:eastAsia="Arial" w:hAnsi="Arial"/>
                <w:sz w:val="16"/>
                <w:szCs w:val="16"/>
                <w:b w:val="1"/>
                <w:bCs w:val="1"/>
                <w:color w:val="auto"/>
              </w:rPr>
              <w:t>2016 Employee Stock Purchase Plan</w:t>
            </w:r>
          </w:p>
        </w:tc>
      </w:tr>
      <w:tr>
        <w:trPr>
          <w:trHeight w:val="168"/>
        </w:trPr>
        <w:tc>
          <w:tcPr>
            <w:tcW w:w="1960" w:type="dxa"/>
            <w:vAlign w:val="bottom"/>
          </w:tcPr>
          <w:p>
            <w:pPr>
              <w:spacing w:after="0"/>
              <w:rPr>
                <w:sz w:val="14"/>
                <w:szCs w:val="14"/>
                <w:color w:val="auto"/>
              </w:rPr>
            </w:pPr>
          </w:p>
        </w:tc>
        <w:tc>
          <w:tcPr>
            <w:tcW w:w="6000" w:type="dxa"/>
            <w:vAlign w:val="bottom"/>
          </w:tcPr>
          <w:p>
            <w:pPr>
              <w:jc w:val="center"/>
              <w:ind w:right="1575"/>
              <w:spacing w:after="0"/>
              <w:rPr>
                <w:sz w:val="20"/>
                <w:szCs w:val="20"/>
                <w:color w:val="auto"/>
              </w:rPr>
            </w:pPr>
            <w:r>
              <w:rPr>
                <w:rFonts w:ascii="Arial" w:cs="Arial" w:eastAsia="Arial" w:hAnsi="Arial"/>
                <w:sz w:val="13"/>
                <w:szCs w:val="13"/>
                <w:b w:val="1"/>
                <w:bCs w:val="1"/>
                <w:color w:val="auto"/>
                <w:w w:val="96"/>
              </w:rPr>
              <w:t>(Full titles of the plans)</w:t>
            </w:r>
          </w:p>
        </w:tc>
      </w:tr>
    </w:tbl>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Dheeraj Pandey</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Chief Executive Officer and Chairman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Nutanix, Inc.</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1740 Technology Drive, Suite 150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San Jose, California 95110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(408) 216-8360</w:t>
      </w:r>
    </w:p>
    <w:p>
      <w:pPr>
        <w:jc w:val="center"/>
        <w:ind w:right="-19"/>
        <w:spacing w:after="0"/>
        <w:rPr>
          <w:sz w:val="20"/>
          <w:szCs w:val="20"/>
          <w:color w:val="auto"/>
        </w:rPr>
      </w:pPr>
      <w:r>
        <w:rPr>
          <w:rFonts w:ascii="Arial" w:cs="Arial" w:eastAsia="Arial" w:hAnsi="Arial"/>
          <w:sz w:val="13"/>
          <w:szCs w:val="13"/>
          <w:b w:val="1"/>
          <w:bCs w:val="1"/>
          <w:color w:val="auto"/>
        </w:rPr>
        <w:t>(Name and address of agent for service) (Telephone number, including area code, of agent for service)</w:t>
      </w:r>
    </w:p>
    <w:p>
      <w:pPr>
        <w:spacing w:after="0" w:line="203" w:lineRule="exact"/>
        <w:rPr>
          <w:sz w:val="24"/>
          <w:szCs w:val="24"/>
          <w:color w:val="auto"/>
        </w:rPr>
      </w:pPr>
    </w:p>
    <w:tbl>
      <w:tblPr>
        <w:tblLayout w:type="fixed"/>
        <w:tblInd w:w="132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5220" w:type="dxa"/>
            <w:vAlign w:val="bottom"/>
          </w:tcPr>
          <w:p>
            <w:pPr>
              <w:ind w:left="500"/>
              <w:spacing w:after="0"/>
              <w:rPr>
                <w:sz w:val="20"/>
                <w:szCs w:val="20"/>
                <w:color w:val="auto"/>
              </w:rPr>
            </w:pPr>
            <w:r>
              <w:rPr>
                <w:rFonts w:ascii="Arial" w:cs="Arial" w:eastAsia="Arial" w:hAnsi="Arial"/>
                <w:sz w:val="16"/>
                <w:szCs w:val="16"/>
                <w:b w:val="1"/>
                <w:bCs w:val="1"/>
                <w:i w:val="1"/>
                <w:iCs w:val="1"/>
                <w:color w:val="auto"/>
              </w:rPr>
              <w:t>Copies to:</w:t>
            </w:r>
          </w:p>
        </w:tc>
      </w:tr>
      <w:tr>
        <w:trPr>
          <w:trHeight w:val="326"/>
        </w:trPr>
        <w:tc>
          <w:tcPr>
            <w:tcW w:w="3500" w:type="dxa"/>
            <w:vAlign w:val="bottom"/>
          </w:tcPr>
          <w:p>
            <w:pPr>
              <w:jc w:val="center"/>
              <w:ind w:right="399"/>
              <w:spacing w:after="0"/>
              <w:rPr>
                <w:sz w:val="20"/>
                <w:szCs w:val="20"/>
                <w:color w:val="auto"/>
              </w:rPr>
            </w:pPr>
            <w:r>
              <w:rPr>
                <w:rFonts w:ascii="Arial" w:cs="Arial" w:eastAsia="Arial" w:hAnsi="Arial"/>
                <w:sz w:val="16"/>
                <w:szCs w:val="16"/>
                <w:b w:val="1"/>
                <w:bCs w:val="1"/>
                <w:color w:val="auto"/>
              </w:rPr>
              <w:t>Jeffrey D. Saper, Esq.</w:t>
            </w:r>
          </w:p>
        </w:tc>
        <w:tc>
          <w:tcPr>
            <w:tcW w:w="5220" w:type="dxa"/>
            <w:vAlign w:val="bottom"/>
          </w:tcPr>
          <w:p>
            <w:pPr>
              <w:jc w:val="center"/>
              <w:ind w:left="2559"/>
              <w:spacing w:after="0"/>
              <w:rPr>
                <w:sz w:val="20"/>
                <w:szCs w:val="20"/>
                <w:color w:val="auto"/>
              </w:rPr>
            </w:pPr>
            <w:r>
              <w:rPr>
                <w:rFonts w:ascii="Arial" w:cs="Arial" w:eastAsia="Arial" w:hAnsi="Arial"/>
                <w:sz w:val="16"/>
                <w:szCs w:val="16"/>
                <w:b w:val="1"/>
                <w:bCs w:val="1"/>
                <w:color w:val="auto"/>
                <w:w w:val="99"/>
              </w:rPr>
              <w:t>Tyler Wall, Esq.</w:t>
            </w:r>
          </w:p>
        </w:tc>
      </w:tr>
      <w:tr>
        <w:trPr>
          <w:trHeight w:val="189"/>
        </w:trPr>
        <w:tc>
          <w:tcPr>
            <w:tcW w:w="3500" w:type="dxa"/>
            <w:vAlign w:val="bottom"/>
          </w:tcPr>
          <w:p>
            <w:pPr>
              <w:jc w:val="center"/>
              <w:ind w:right="399"/>
              <w:spacing w:after="0"/>
              <w:rPr>
                <w:sz w:val="20"/>
                <w:szCs w:val="20"/>
                <w:color w:val="auto"/>
              </w:rPr>
            </w:pPr>
            <w:r>
              <w:rPr>
                <w:rFonts w:ascii="Arial" w:cs="Arial" w:eastAsia="Arial" w:hAnsi="Arial"/>
                <w:sz w:val="16"/>
                <w:szCs w:val="16"/>
                <w:b w:val="1"/>
                <w:bCs w:val="1"/>
                <w:color w:val="auto"/>
              </w:rPr>
              <w:t>Mark B. Baudler, Esq.</w:t>
            </w:r>
          </w:p>
        </w:tc>
        <w:tc>
          <w:tcPr>
            <w:tcW w:w="5220" w:type="dxa"/>
            <w:vAlign w:val="bottom"/>
          </w:tcPr>
          <w:p>
            <w:pPr>
              <w:jc w:val="center"/>
              <w:ind w:left="2579"/>
              <w:spacing w:after="0"/>
              <w:rPr>
                <w:sz w:val="20"/>
                <w:szCs w:val="20"/>
                <w:color w:val="auto"/>
              </w:rPr>
            </w:pPr>
            <w:r>
              <w:rPr>
                <w:rFonts w:ascii="Arial" w:cs="Arial" w:eastAsia="Arial" w:hAnsi="Arial"/>
                <w:sz w:val="16"/>
                <w:szCs w:val="16"/>
                <w:b w:val="1"/>
                <w:bCs w:val="1"/>
                <w:color w:val="auto"/>
                <w:w w:val="99"/>
              </w:rPr>
              <w:t>Olive Huang, Esq.</w:t>
            </w:r>
          </w:p>
        </w:tc>
      </w:tr>
      <w:tr>
        <w:trPr>
          <w:trHeight w:val="189"/>
        </w:trPr>
        <w:tc>
          <w:tcPr>
            <w:tcW w:w="3500" w:type="dxa"/>
            <w:vAlign w:val="bottom"/>
          </w:tcPr>
          <w:p>
            <w:pPr>
              <w:jc w:val="center"/>
              <w:ind w:right="419"/>
              <w:spacing w:after="0"/>
              <w:rPr>
                <w:sz w:val="20"/>
                <w:szCs w:val="20"/>
                <w:color w:val="auto"/>
              </w:rPr>
            </w:pPr>
            <w:r>
              <w:rPr>
                <w:rFonts w:ascii="Arial" w:cs="Arial" w:eastAsia="Arial" w:hAnsi="Arial"/>
                <w:sz w:val="16"/>
                <w:szCs w:val="16"/>
                <w:b w:val="1"/>
                <w:bCs w:val="1"/>
                <w:color w:val="auto"/>
              </w:rPr>
              <w:t>Wilson Sonsini Goodrich &amp; Rosati, P.C.</w:t>
            </w:r>
          </w:p>
        </w:tc>
        <w:tc>
          <w:tcPr>
            <w:tcW w:w="5220" w:type="dxa"/>
            <w:vAlign w:val="bottom"/>
          </w:tcPr>
          <w:p>
            <w:pPr>
              <w:jc w:val="center"/>
              <w:ind w:left="2579"/>
              <w:spacing w:after="0"/>
              <w:rPr>
                <w:sz w:val="20"/>
                <w:szCs w:val="20"/>
                <w:color w:val="auto"/>
              </w:rPr>
            </w:pPr>
            <w:r>
              <w:rPr>
                <w:rFonts w:ascii="Arial" w:cs="Arial" w:eastAsia="Arial" w:hAnsi="Arial"/>
                <w:sz w:val="16"/>
                <w:szCs w:val="16"/>
                <w:b w:val="1"/>
                <w:bCs w:val="1"/>
                <w:color w:val="auto"/>
              </w:rPr>
              <w:t>Nutanix, Inc.</w:t>
            </w:r>
          </w:p>
        </w:tc>
      </w:tr>
      <w:tr>
        <w:trPr>
          <w:trHeight w:val="189"/>
        </w:trPr>
        <w:tc>
          <w:tcPr>
            <w:tcW w:w="3500" w:type="dxa"/>
            <w:vAlign w:val="bottom"/>
          </w:tcPr>
          <w:p>
            <w:pPr>
              <w:jc w:val="center"/>
              <w:ind w:right="419"/>
              <w:spacing w:after="0"/>
              <w:rPr>
                <w:sz w:val="20"/>
                <w:szCs w:val="20"/>
                <w:color w:val="auto"/>
              </w:rPr>
            </w:pPr>
            <w:r>
              <w:rPr>
                <w:rFonts w:ascii="Arial" w:cs="Arial" w:eastAsia="Arial" w:hAnsi="Arial"/>
                <w:sz w:val="16"/>
                <w:szCs w:val="16"/>
                <w:b w:val="1"/>
                <w:bCs w:val="1"/>
                <w:color w:val="auto"/>
              </w:rPr>
              <w:t>650 Page Mill Road</w:t>
            </w:r>
          </w:p>
        </w:tc>
        <w:tc>
          <w:tcPr>
            <w:tcW w:w="5220" w:type="dxa"/>
            <w:vAlign w:val="bottom"/>
          </w:tcPr>
          <w:p>
            <w:pPr>
              <w:jc w:val="center"/>
              <w:ind w:left="2579"/>
              <w:spacing w:after="0"/>
              <w:rPr>
                <w:sz w:val="20"/>
                <w:szCs w:val="20"/>
                <w:color w:val="auto"/>
              </w:rPr>
            </w:pPr>
            <w:r>
              <w:rPr>
                <w:rFonts w:ascii="Arial" w:cs="Arial" w:eastAsia="Arial" w:hAnsi="Arial"/>
                <w:sz w:val="16"/>
                <w:szCs w:val="16"/>
                <w:b w:val="1"/>
                <w:bCs w:val="1"/>
                <w:color w:val="auto"/>
              </w:rPr>
              <w:t>1740 Technology Drive, Suite 150</w:t>
            </w:r>
          </w:p>
        </w:tc>
      </w:tr>
      <w:tr>
        <w:trPr>
          <w:trHeight w:val="189"/>
        </w:trPr>
        <w:tc>
          <w:tcPr>
            <w:tcW w:w="3500" w:type="dxa"/>
            <w:vAlign w:val="bottom"/>
          </w:tcPr>
          <w:p>
            <w:pPr>
              <w:jc w:val="center"/>
              <w:ind w:right="419"/>
              <w:spacing w:after="0"/>
              <w:rPr>
                <w:sz w:val="20"/>
                <w:szCs w:val="20"/>
                <w:color w:val="auto"/>
              </w:rPr>
            </w:pPr>
            <w:r>
              <w:rPr>
                <w:rFonts w:ascii="Arial" w:cs="Arial" w:eastAsia="Arial" w:hAnsi="Arial"/>
                <w:sz w:val="16"/>
                <w:szCs w:val="16"/>
                <w:b w:val="1"/>
                <w:bCs w:val="1"/>
                <w:color w:val="auto"/>
              </w:rPr>
              <w:t>Palo Alto, California 94304</w:t>
            </w:r>
          </w:p>
        </w:tc>
        <w:tc>
          <w:tcPr>
            <w:tcW w:w="5220" w:type="dxa"/>
            <w:vAlign w:val="bottom"/>
          </w:tcPr>
          <w:p>
            <w:pPr>
              <w:jc w:val="center"/>
              <w:ind w:left="2579"/>
              <w:spacing w:after="0"/>
              <w:rPr>
                <w:sz w:val="20"/>
                <w:szCs w:val="20"/>
                <w:color w:val="auto"/>
              </w:rPr>
            </w:pPr>
            <w:r>
              <w:rPr>
                <w:rFonts w:ascii="Arial" w:cs="Arial" w:eastAsia="Arial" w:hAnsi="Arial"/>
                <w:sz w:val="16"/>
                <w:szCs w:val="16"/>
                <w:b w:val="1"/>
                <w:bCs w:val="1"/>
                <w:color w:val="auto"/>
              </w:rPr>
              <w:t>San Jose, California 95110</w:t>
            </w:r>
          </w:p>
        </w:tc>
      </w:tr>
      <w:tr>
        <w:trPr>
          <w:trHeight w:val="215"/>
        </w:trPr>
        <w:tc>
          <w:tcPr>
            <w:tcW w:w="3500" w:type="dxa"/>
            <w:vAlign w:val="bottom"/>
          </w:tcPr>
          <w:p>
            <w:pPr>
              <w:jc w:val="center"/>
              <w:ind w:right="419"/>
              <w:spacing w:after="0"/>
              <w:rPr>
                <w:sz w:val="20"/>
                <w:szCs w:val="20"/>
                <w:color w:val="auto"/>
              </w:rPr>
            </w:pPr>
            <w:r>
              <w:rPr>
                <w:rFonts w:ascii="Arial" w:cs="Arial" w:eastAsia="Arial" w:hAnsi="Arial"/>
                <w:sz w:val="16"/>
                <w:szCs w:val="16"/>
                <w:b w:val="1"/>
                <w:bCs w:val="1"/>
                <w:color w:val="auto"/>
              </w:rPr>
              <w:t>(650) 493-9300</w:t>
            </w:r>
          </w:p>
        </w:tc>
        <w:tc>
          <w:tcPr>
            <w:tcW w:w="5220" w:type="dxa"/>
            <w:vAlign w:val="bottom"/>
          </w:tcPr>
          <w:p>
            <w:pPr>
              <w:jc w:val="center"/>
              <w:ind w:left="2579"/>
              <w:spacing w:after="0"/>
              <w:rPr>
                <w:sz w:val="20"/>
                <w:szCs w:val="20"/>
                <w:color w:val="auto"/>
              </w:rPr>
            </w:pPr>
            <w:r>
              <w:rPr>
                <w:rFonts w:ascii="Arial" w:cs="Arial" w:eastAsia="Arial" w:hAnsi="Arial"/>
                <w:sz w:val="16"/>
                <w:szCs w:val="16"/>
                <w:b w:val="1"/>
                <w:bCs w:val="1"/>
                <w:color w:val="auto"/>
              </w:rPr>
              <w:t>(408) 216-8360</w:t>
            </w:r>
          </w:p>
        </w:tc>
      </w:tr>
    </w:tbl>
    <w:p>
      <w:pPr>
        <w:spacing w:after="0" w:line="356" w:lineRule="exact"/>
        <w:rPr>
          <w:sz w:val="24"/>
          <w:szCs w:val="24"/>
          <w:color w:val="auto"/>
        </w:rPr>
      </w:pPr>
    </w:p>
    <w:p>
      <w:pPr>
        <w:ind w:right="20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1" w:lineRule="exact"/>
        <w:rPr>
          <w:sz w:val="24"/>
          <w:szCs w:val="24"/>
          <w:color w:val="auto"/>
        </w:rPr>
      </w:pPr>
    </w:p>
    <w:tbl>
      <w:tblPr>
        <w:tblLayout w:type="fixed"/>
        <w:tblInd w:w="260" w:type="dxa"/>
        <w:tblCellMar>
          <w:top w:w="0" w:type="dxa"/>
          <w:left w:w="0" w:type="dxa"/>
          <w:bottom w:w="0" w:type="dxa"/>
          <w:right w:w="0" w:type="dxa"/>
        </w:tblCellMar>
      </w:tblPr>
      <w:tr>
        <w:trPr>
          <w:trHeight w:val="244"/>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460" w:type="dxa"/>
            <w:vAlign w:val="bottom"/>
          </w:tcPr>
          <w:p>
            <w:pPr>
              <w:ind w:left="320"/>
              <w:spacing w:after="0"/>
              <w:rPr>
                <w:sz w:val="20"/>
                <w:szCs w:val="20"/>
                <w:color w:val="auto"/>
              </w:rPr>
            </w:pPr>
            <w:r>
              <w:rPr>
                <w:rFonts w:ascii="Arial" w:cs="Arial" w:eastAsia="Arial" w:hAnsi="Arial"/>
                <w:sz w:val="18"/>
                <w:szCs w:val="18"/>
                <w:color w:val="auto"/>
              </w:rPr>
              <w:t>x</w:t>
            </w:r>
          </w:p>
        </w:tc>
        <w:tc>
          <w:tcPr>
            <w:tcW w:w="2960" w:type="dxa"/>
            <w:vAlign w:val="bottom"/>
          </w:tcPr>
          <w:p>
            <w:pPr>
              <w:ind w:left="36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60"/>
              <w:spacing w:after="0"/>
              <w:rPr>
                <w:sz w:val="20"/>
                <w:szCs w:val="20"/>
                <w:color w:val="auto"/>
              </w:rPr>
            </w:pPr>
            <w:r>
              <w:rPr>
                <w:rFonts w:ascii="Arial" w:cs="Arial" w:eastAsia="Arial" w:hAnsi="Arial"/>
                <w:sz w:val="18"/>
                <w:szCs w:val="18"/>
                <w:color w:val="auto"/>
                <w:w w:val="79"/>
              </w:rPr>
              <w:t>o</w:t>
            </w:r>
          </w:p>
        </w:tc>
      </w:tr>
      <w:tr>
        <w:trPr>
          <w:trHeight w:val="257"/>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4460" w:type="dxa"/>
            <w:vAlign w:val="bottom"/>
          </w:tcPr>
          <w:p>
            <w:pPr>
              <w:ind w:left="320"/>
              <w:spacing w:after="0"/>
              <w:rPr>
                <w:sz w:val="20"/>
                <w:szCs w:val="20"/>
                <w:color w:val="auto"/>
              </w:rPr>
            </w:pPr>
            <w:r>
              <w:rPr>
                <w:rFonts w:ascii="Arial" w:cs="Arial" w:eastAsia="Arial" w:hAnsi="Arial"/>
                <w:sz w:val="18"/>
                <w:szCs w:val="18"/>
                <w:color w:val="auto"/>
              </w:rPr>
              <w:t>o (Do not check if a smaller reporting company)</w:t>
            </w:r>
          </w:p>
        </w:tc>
        <w:tc>
          <w:tcPr>
            <w:tcW w:w="2960" w:type="dxa"/>
            <w:vAlign w:val="bottom"/>
          </w:tcPr>
          <w:p>
            <w:pPr>
              <w:ind w:left="36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60"/>
              <w:spacing w:after="0"/>
              <w:rPr>
                <w:sz w:val="20"/>
                <w:szCs w:val="20"/>
                <w:color w:val="auto"/>
              </w:rPr>
            </w:pPr>
            <w:r>
              <w:rPr>
                <w:rFonts w:ascii="Arial" w:cs="Arial" w:eastAsia="Arial" w:hAnsi="Arial"/>
                <w:sz w:val="18"/>
                <w:szCs w:val="18"/>
                <w:color w:val="auto"/>
                <w:w w:val="79"/>
              </w:rPr>
              <w:t>o</w:t>
            </w:r>
          </w:p>
        </w:tc>
      </w:tr>
      <w:tr>
        <w:trPr>
          <w:trHeight w:val="284"/>
        </w:trPr>
        <w:tc>
          <w:tcPr>
            <w:tcW w:w="2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960" w:type="dxa"/>
            <w:vAlign w:val="bottom"/>
          </w:tcPr>
          <w:p>
            <w:pPr>
              <w:ind w:left="36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60"/>
              <w:spacing w:after="0"/>
              <w:rPr>
                <w:sz w:val="20"/>
                <w:szCs w:val="20"/>
                <w:color w:val="auto"/>
              </w:rPr>
            </w:pPr>
            <w:r>
              <w:rPr>
                <w:rFonts w:ascii="Arial" w:cs="Arial" w:eastAsia="Arial" w:hAnsi="Arial"/>
                <w:sz w:val="18"/>
                <w:szCs w:val="18"/>
                <w:color w:val="auto"/>
                <w:w w:val="79"/>
              </w:rPr>
              <w:t>o</w:t>
            </w:r>
          </w:p>
        </w:tc>
      </w:tr>
    </w:tbl>
    <w:p>
      <w:pPr>
        <w:spacing w:after="0" w:line="33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4"/>
          <w:szCs w:val="14"/>
          <w:color w:val="auto"/>
        </w:rPr>
        <w:t>o</w:t>
      </w:r>
    </w:p>
    <w:p>
      <w:pPr>
        <w:sectPr>
          <w:pgSz w:w="11900" w:h="16838" w:orient="portrait"/>
          <w:cols w:equalWidth="0" w:num="1">
            <w:col w:w="11420"/>
          </w:cols>
          <w:pgMar w:left="240" w:top="684"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540" w:type="dxa"/>
            <w:vAlign w:val="bottom"/>
            <w:tcBorders>
              <w:top w:val="single" w:sz="8" w:color="auto"/>
              <w:left w:val="single" w:sz="8" w:color="auto"/>
              <w:bottom w:val="single" w:sz="8" w:color="auto"/>
            </w:tcBorders>
          </w:tcPr>
          <w:p>
            <w:pPr>
              <w:spacing w:after="0"/>
              <w:rPr>
                <w:sz w:val="3"/>
                <w:szCs w:val="3"/>
                <w:color w:val="auto"/>
              </w:rPr>
            </w:pPr>
          </w:p>
        </w:tc>
        <w:tc>
          <w:tcPr>
            <w:tcW w:w="314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78"/>
        </w:trPr>
        <w:tc>
          <w:tcPr>
            <w:tcW w:w="540" w:type="dxa"/>
            <w:vAlign w:val="bottom"/>
            <w:tcBorders>
              <w:left w:val="single" w:sz="8" w:color="auto"/>
            </w:tcBorders>
          </w:tcPr>
          <w:p>
            <w:pPr>
              <w:spacing w:after="0"/>
              <w:rPr>
                <w:sz w:val="15"/>
                <w:szCs w:val="15"/>
                <w:color w:val="auto"/>
              </w:rPr>
            </w:pPr>
          </w:p>
        </w:tc>
        <w:tc>
          <w:tcPr>
            <w:tcW w:w="31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Borders>
              <w:right w:val="single" w:sz="8" w:color="auto"/>
            </w:tcBorders>
          </w:tcPr>
          <w:p>
            <w:pPr>
              <w:jc w:val="center"/>
              <w:ind w:right="119"/>
              <w:spacing w:after="0" w:line="178" w:lineRule="exact"/>
              <w:rPr>
                <w:sz w:val="20"/>
                <w:szCs w:val="20"/>
                <w:color w:val="auto"/>
              </w:rPr>
            </w:pPr>
            <w:r>
              <w:rPr>
                <w:rFonts w:ascii="Arial" w:cs="Arial" w:eastAsia="Arial" w:hAnsi="Arial"/>
                <w:sz w:val="16"/>
                <w:szCs w:val="16"/>
                <w:b w:val="1"/>
                <w:bCs w:val="1"/>
                <w:color w:val="auto"/>
              </w:rPr>
              <w:t>Proposed</w:t>
            </w:r>
          </w:p>
        </w:tc>
        <w:tc>
          <w:tcPr>
            <w:tcW w:w="3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Borders>
              <w:right w:val="single" w:sz="8" w:color="auto"/>
            </w:tcBorders>
          </w:tcPr>
          <w:p>
            <w:pPr>
              <w:jc w:val="center"/>
              <w:ind w:right="179"/>
              <w:spacing w:after="0" w:line="178" w:lineRule="exact"/>
              <w:rPr>
                <w:sz w:val="20"/>
                <w:szCs w:val="20"/>
                <w:color w:val="auto"/>
              </w:rPr>
            </w:pPr>
            <w:r>
              <w:rPr>
                <w:rFonts w:ascii="Arial" w:cs="Arial" w:eastAsia="Arial" w:hAnsi="Arial"/>
                <w:sz w:val="16"/>
                <w:szCs w:val="16"/>
                <w:b w:val="1"/>
                <w:bCs w:val="1"/>
                <w:color w:val="auto"/>
              </w:rPr>
              <w:t>Proposed</w:t>
            </w:r>
          </w:p>
        </w:tc>
        <w:tc>
          <w:tcPr>
            <w:tcW w:w="200" w:type="dxa"/>
            <w:vAlign w:val="bottom"/>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31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Maximum</w:t>
            </w:r>
          </w:p>
        </w:tc>
        <w:tc>
          <w:tcPr>
            <w:tcW w:w="3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Borders>
              <w:right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Maximum</w:t>
            </w:r>
          </w:p>
        </w:tc>
        <w:tc>
          <w:tcPr>
            <w:tcW w:w="20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3140" w:type="dxa"/>
            <w:vAlign w:val="bottom"/>
            <w:tcBorders>
              <w:right w:val="single" w:sz="8" w:color="auto"/>
            </w:tcBorders>
          </w:tcPr>
          <w:p>
            <w:pPr>
              <w:jc w:val="center"/>
              <w:ind w:right="439"/>
              <w:spacing w:after="0"/>
              <w:rPr>
                <w:sz w:val="20"/>
                <w:szCs w:val="20"/>
                <w:color w:val="auto"/>
              </w:rPr>
            </w:pPr>
            <w:r>
              <w:rPr>
                <w:rFonts w:ascii="Arial" w:cs="Arial" w:eastAsia="Arial" w:hAnsi="Arial"/>
                <w:sz w:val="16"/>
                <w:szCs w:val="16"/>
                <w:b w:val="1"/>
                <w:bCs w:val="1"/>
                <w:color w:val="auto"/>
              </w:rPr>
              <w:t>Title of Securities</w:t>
            </w:r>
          </w:p>
        </w:tc>
        <w:tc>
          <w:tcPr>
            <w:tcW w:w="158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 to be</w:t>
            </w:r>
          </w:p>
        </w:tc>
        <w:tc>
          <w:tcPr>
            <w:tcW w:w="4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Offering</w:t>
            </w:r>
          </w:p>
        </w:tc>
        <w:tc>
          <w:tcPr>
            <w:tcW w:w="3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Borders>
              <w:right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Aggregate</w:t>
            </w:r>
          </w:p>
        </w:tc>
        <w:tc>
          <w:tcPr>
            <w:tcW w:w="200" w:type="dxa"/>
            <w:vAlign w:val="bottom"/>
          </w:tcPr>
          <w:p>
            <w:pPr>
              <w:spacing w:after="0"/>
              <w:rPr>
                <w:sz w:val="16"/>
                <w:szCs w:val="16"/>
                <w:color w:val="auto"/>
              </w:rPr>
            </w:pPr>
          </w:p>
        </w:tc>
        <w:tc>
          <w:tcPr>
            <w:tcW w:w="16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Amount of</w:t>
            </w:r>
          </w:p>
        </w:tc>
      </w:tr>
      <w:tr>
        <w:trPr>
          <w:trHeight w:val="228"/>
        </w:trPr>
        <w:tc>
          <w:tcPr>
            <w:tcW w:w="540" w:type="dxa"/>
            <w:vAlign w:val="bottom"/>
            <w:tcBorders>
              <w:left w:val="single" w:sz="8" w:color="auto"/>
              <w:bottom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to be Registered</w:t>
            </w:r>
          </w:p>
        </w:tc>
        <w:tc>
          <w:tcPr>
            <w:tcW w:w="158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Registered (1)</w:t>
            </w:r>
          </w:p>
        </w:tc>
        <w:tc>
          <w:tcPr>
            <w:tcW w:w="4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 per Share</w:t>
            </w:r>
          </w:p>
        </w:tc>
        <w:tc>
          <w:tcPr>
            <w:tcW w:w="34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Offering Price</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Registration Fee</w:t>
            </w:r>
          </w:p>
        </w:tc>
      </w:tr>
      <w:tr>
        <w:trPr>
          <w:trHeight w:val="218"/>
        </w:trPr>
        <w:tc>
          <w:tcPr>
            <w:tcW w:w="36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Class A Common Stock, par value $0.000025 par</w:t>
            </w:r>
          </w:p>
        </w:tc>
        <w:tc>
          <w:tcPr>
            <w:tcW w:w="15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r>
      <w:tr>
        <w:trPr>
          <w:trHeight w:val="208"/>
        </w:trPr>
        <w:tc>
          <w:tcPr>
            <w:tcW w:w="36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value per share</w:t>
            </w:r>
          </w:p>
        </w:tc>
        <w:tc>
          <w:tcPr>
            <w:tcW w:w="15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r>
      <w:tr>
        <w:trPr>
          <w:trHeight w:val="237"/>
        </w:trPr>
        <w:tc>
          <w:tcPr>
            <w:tcW w:w="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- 2016</w:t>
            </w:r>
          </w:p>
        </w:tc>
        <w:tc>
          <w:tcPr>
            <w:tcW w:w="3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Equity Incentive Plan</w:t>
            </w:r>
          </w:p>
        </w:tc>
        <w:tc>
          <w:tcPr>
            <w:tcW w:w="15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9,429,765</w:t>
            </w:r>
          </w:p>
        </w:tc>
        <w:tc>
          <w:tcPr>
            <w:tcW w:w="46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19.46</w:t>
            </w:r>
          </w:p>
        </w:tc>
        <w:tc>
          <w:tcPr>
            <w:tcW w:w="3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183,503,226.90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22,240.60</w:t>
            </w:r>
          </w:p>
        </w:tc>
      </w:tr>
      <w:tr>
        <w:trPr>
          <w:trHeight w:val="237"/>
        </w:trPr>
        <w:tc>
          <w:tcPr>
            <w:tcW w:w="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- 2016</w:t>
            </w:r>
          </w:p>
        </w:tc>
        <w:tc>
          <w:tcPr>
            <w:tcW w:w="3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Employee Stock Purchase Plan</w:t>
            </w:r>
          </w:p>
        </w:tc>
        <w:tc>
          <w:tcPr>
            <w:tcW w:w="15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1,885,953</w:t>
            </w:r>
          </w:p>
        </w:tc>
        <w:tc>
          <w:tcPr>
            <w:tcW w:w="46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16.54</w:t>
            </w:r>
          </w:p>
        </w:tc>
        <w:tc>
          <w:tcPr>
            <w:tcW w:w="3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31,193,662.62</w:t>
            </w: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3,780.66</w:t>
            </w:r>
          </w:p>
        </w:tc>
      </w:tr>
      <w:tr>
        <w:trPr>
          <w:trHeight w:val="264"/>
        </w:trPr>
        <w:tc>
          <w:tcPr>
            <w:tcW w:w="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3140" w:type="dxa"/>
            <w:vAlign w:val="bottom"/>
            <w:tcBorders>
              <w:bottom w:val="single" w:sz="8" w:color="auto"/>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11,315,718</w:t>
            </w:r>
          </w:p>
        </w:tc>
        <w:tc>
          <w:tcPr>
            <w:tcW w:w="460" w:type="dxa"/>
            <w:vAlign w:val="bottom"/>
            <w:tcBorders>
              <w:bottom w:val="single" w:sz="8" w:color="auto"/>
              <w:right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214,696,889.52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26,021.26</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ind w:left="500" w:right="100" w:hanging="258"/>
        <w:spacing w:after="0" w:line="250"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of the Securities Act of 1933, as amended (the “Securities Act”), this Registration Statement shall also cover any additional shares of the Registrant’s Class A common stock, $0.000025 par value per share (“Class A common stock”) that become issuable under the 2016 Equity Incentive Plan (“2016 Plan”) or 2016 Employee Stock Purchase Plan (“2016 ESPP”), by reason of any stock dividend, stock split, recapitalization or other similar transaction effected without receipt of consideration that increases the number of the Registrant’s outstanding shares of Class A common stock.</w:t>
      </w:r>
    </w:p>
    <w:p>
      <w:pPr>
        <w:spacing w:after="0" w:line="232" w:lineRule="exact"/>
        <w:rPr>
          <w:rFonts w:ascii="Arial" w:cs="Arial" w:eastAsia="Arial" w:hAnsi="Arial"/>
          <w:sz w:val="16"/>
          <w:szCs w:val="16"/>
          <w:color w:val="auto"/>
        </w:rPr>
      </w:pPr>
    </w:p>
    <w:p>
      <w:pPr>
        <w:ind w:left="500" w:right="60" w:hanging="258"/>
        <w:spacing w:after="0" w:line="260"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additional shares of Class A common stock available for issuance as a result of the automatic annual evergreen increase on August 1, 2019 under Registrant’s 2016 Plan.</w:t>
      </w:r>
    </w:p>
    <w:p>
      <w:pPr>
        <w:spacing w:after="0" w:line="33" w:lineRule="exact"/>
        <w:rPr>
          <w:rFonts w:ascii="Arial" w:cs="Arial" w:eastAsia="Arial" w:hAnsi="Arial"/>
          <w:sz w:val="16"/>
          <w:szCs w:val="16"/>
          <w:color w:val="auto"/>
        </w:rPr>
      </w:pPr>
    </w:p>
    <w:p>
      <w:pPr>
        <w:ind w:left="500" w:right="60" w:hanging="258"/>
        <w:spacing w:after="0" w:line="260"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additional shares of Class A common stock available for issuance as a result of the automatic annual evergreen increase on August 1, 2019 under Registrant’s 2016 ESPP.</w:t>
      </w:r>
    </w:p>
    <w:p>
      <w:pPr>
        <w:spacing w:after="0" w:line="33" w:lineRule="exact"/>
        <w:rPr>
          <w:rFonts w:ascii="Arial" w:cs="Arial" w:eastAsia="Arial" w:hAnsi="Arial"/>
          <w:sz w:val="16"/>
          <w:szCs w:val="16"/>
          <w:color w:val="auto"/>
        </w:rPr>
      </w:pPr>
    </w:p>
    <w:p>
      <w:pPr>
        <w:ind w:left="500" w:right="120" w:hanging="258"/>
        <w:spacing w:after="0" w:line="260"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Rules 457(c) and (h) solely for purposes of calculating the registration fee on the basis of the average of the high and low prices of Registrant’s Class A common stock as reported on The Nasdaq Global Select Market on August 27, 2019.</w:t>
      </w:r>
    </w:p>
    <w:p>
      <w:pPr>
        <w:spacing w:after="0" w:line="33" w:lineRule="exact"/>
        <w:rPr>
          <w:rFonts w:ascii="Arial" w:cs="Arial" w:eastAsia="Arial" w:hAnsi="Arial"/>
          <w:sz w:val="16"/>
          <w:szCs w:val="16"/>
          <w:color w:val="auto"/>
        </w:rPr>
      </w:pPr>
    </w:p>
    <w:p>
      <w:pPr>
        <w:ind w:left="500" w:right="80" w:hanging="258"/>
        <w:spacing w:after="0" w:line="251"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Rules 457(c) and (h) solely for purposes of calculating the registration fee on the basis of 85% of the average of the high and low prices of Registrant’s Class A common stock as reported on the Nasdaq Global Select Market on August 27, 2019. Pursuant to the 2016 ESPP, for each offering period, the purchase price of the shares of common stock reserved for issuance thereunder will be at least 85% of the lower of the fair market value of the common stock on the first trading day of the offering period or on the exercise date.</w:t>
      </w:r>
    </w:p>
    <w:p>
      <w:pPr>
        <w:sectPr>
          <w:pgSz w:w="11900" w:h="16838" w:orient="portrait"/>
          <w:cols w:equalWidth="0" w:num="1">
            <w:col w:w="11440"/>
          </w:cols>
          <w:pgMar w:left="240" w:top="900" w:right="2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REGISTRATION OF ADDITIONAL SECURITIES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GENERAL INSTRUCTION 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Equity Incentive Plan</w:t>
      </w:r>
    </w:p>
    <w:p>
      <w:pPr>
        <w:spacing w:after="0" w:line="139"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2016 Equity Incentive Plan (the “2016 Plan”) of Nutanix, Inc. (the “Registrant”) provides that the total number of shares of Class A common stock, $0.000025 par value ("Class A common stock") reserved for issuance under the 2016 Plan will be automatically increased on the first day of each fiscal year beginning in fiscal 2018, by an amount equal to the least of (i) 18,000,000 shares, (ii) 5% of the outstanding shares of all classes of common stock as of the last day of our immediately preceding fiscal year, or (iii) such other amount as Registrant’s Board of Directors may determine. Accordingly, on August 1, 2019, the number of shares of Class A common stock reserved under the 2016 Plan increased by an additional 9,429,765 shares (or 5% of the outstanding shares of common stock as of July 31,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Employee Stock Purchase Plan</w:t>
      </w:r>
    </w:p>
    <w:p>
      <w:pPr>
        <w:spacing w:after="0" w:line="13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Registrant’s 2016 Employee Stock Purchase Plan (the “2016 ESPP”) provides that the number of shares of our Class A common stock available for sale under our 2016 ESPP will be automatically increased on the first day of each fiscal year beginning in fiscal 2018, by an amount equal to the least of (i) 3,800,000 shares, (ii) 1% of the outstanding shares of all classes of common stock as of the last day of the immediately preceding fiscal year, or (iii) such other amount as Registrant’s Board of Directors may determine. Accordingly, on August 1, 2019, the number of shares of Class A common stock reserved under the 2016 ESPP increased by an additional 1,885,953 shares (or 1% of the outstanding shares of common stock as of July 31, 2019).</w:t>
      </w:r>
    </w:p>
    <w:p>
      <w:pPr>
        <w:spacing w:after="0" w:line="20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These additional shares of Class A common stock are securities of the same class as other securities for which the Registration Statement on Form S-8 (File No. 333-213888) (“Initial Form S-8”) was filed with the Securities and Exchange Commission (“Commission”) on September 30, 2016. Pursuant to General Instruction E to Form S-8, this Registration Statement hereby incorporates by reference the contents of each of the Initial Form S-8, the Form S-8 filed with the Commission on September 18, 2017 (File No. 333-220517), and the Form S-8 filed with the Commission on September 24, 2018 (File No. 333-227490), except that the provisions contained in Part II of such earlier registration statement are modified as set forth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ectPr>
          <w:pgSz w:w="11900" w:h="16838" w:orient="portrait"/>
          <w:cols w:equalWidth="0" w:num="1">
            <w:col w:w="11380"/>
          </w:cols>
          <w:pgMar w:left="240" w:top="1116"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CERTAIN DOCUMENTS BY REFERENCE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Registrant with the Commission are incorporated by reference into this Registration Statement:</w:t>
      </w:r>
    </w:p>
    <w:p>
      <w:pPr>
        <w:spacing w:after="0" w:line="225" w:lineRule="exact"/>
        <w:rPr>
          <w:sz w:val="20"/>
          <w:szCs w:val="20"/>
          <w:color w:val="auto"/>
        </w:rPr>
      </w:pPr>
    </w:p>
    <w:p>
      <w:pPr>
        <w:ind w:right="100" w:firstLine="656"/>
        <w:spacing w:after="0" w:line="262" w:lineRule="auto"/>
        <w:tabs>
          <w:tab w:leader="none" w:pos="91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Registrant’s Annual Report on Form 10-K for the fiscal year ended July 31, 2018, filed with the Commission on September 24, 2018 (File No. 001-37883), pursuant to Section 13 of the Securities Exchange Act of 1934, as amended (the “Exchange Act”);</w:t>
      </w:r>
    </w:p>
    <w:p>
      <w:pPr>
        <w:spacing w:after="0" w:line="196" w:lineRule="exact"/>
        <w:rPr>
          <w:rFonts w:ascii="Arial" w:cs="Arial" w:eastAsia="Arial" w:hAnsi="Arial"/>
          <w:sz w:val="18"/>
          <w:szCs w:val="18"/>
          <w:b w:val="1"/>
          <w:bCs w:val="1"/>
          <w:color w:val="auto"/>
        </w:rPr>
      </w:pPr>
    </w:p>
    <w:p>
      <w:pPr>
        <w:ind w:right="680" w:firstLine="656"/>
        <w:spacing w:after="0" w:line="262" w:lineRule="auto"/>
        <w:tabs>
          <w:tab w:leader="none" w:pos="92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All other reports filed pursuant to Section 13(a) or 15(d) of the Exchange Act since the end of the fiscal year covered by the Registrant's Annual Report referred to in (a) above (other than the portions of such documents not deemed to be filed); and</w:t>
      </w:r>
    </w:p>
    <w:p>
      <w:pPr>
        <w:spacing w:after="0" w:line="196" w:lineRule="exact"/>
        <w:rPr>
          <w:rFonts w:ascii="Arial" w:cs="Arial" w:eastAsia="Arial" w:hAnsi="Arial"/>
          <w:sz w:val="18"/>
          <w:szCs w:val="18"/>
          <w:b w:val="1"/>
          <w:bCs w:val="1"/>
          <w:color w:val="auto"/>
        </w:rPr>
      </w:pPr>
    </w:p>
    <w:p>
      <w:pPr>
        <w:ind w:right="200" w:firstLine="656"/>
        <w:spacing w:after="0" w:line="256" w:lineRule="auto"/>
        <w:tabs>
          <w:tab w:leader="none" w:pos="91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description of the Registrant's Class A common stock which is contained in a registration statement on Form 8-A filed on September 19, 2016 (File No. 001-37883) under the Exchange Act, including any amendment or report filed for the purpose of updating such description.</w:t>
      </w:r>
    </w:p>
    <w:p>
      <w:pPr>
        <w:spacing w:after="0" w:line="20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All other reports and documents subsequently filed by the Registrant pursuant to Sections 13(a), 13(c), 14 and 15(d) of the Exchange Act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w:t>
      </w:r>
      <w:r>
        <w:rPr>
          <w:rFonts w:ascii="Arial" w:cs="Arial" w:eastAsia="Arial" w:hAnsi="Arial"/>
          <w:sz w:val="18"/>
          <w:szCs w:val="18"/>
          <w:i w:val="1"/>
          <w:iCs w:val="1"/>
          <w:color w:val="auto"/>
        </w:rPr>
        <w:t>provided, however</w:t>
      </w:r>
      <w:r>
        <w:rPr>
          <w:rFonts w:ascii="Arial" w:cs="Arial" w:eastAsia="Arial" w:hAnsi="Arial"/>
          <w:sz w:val="18"/>
          <w:szCs w:val="18"/>
          <w:color w:val="auto"/>
        </w:rPr>
        <w:t>, that documents or information deemed to have been furnished and not filed in accordance with the rules of the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below.</w:t>
      </w:r>
    </w:p>
    <w:p>
      <w:pPr>
        <w:spacing w:after="0" w:line="16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5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3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Incorporated by Reference</w:t>
            </w:r>
          </w:p>
        </w:tc>
        <w:tc>
          <w:tcPr>
            <w:tcW w:w="740" w:type="dxa"/>
            <w:vAlign w:val="bottom"/>
          </w:tcPr>
          <w:p>
            <w:pPr>
              <w:spacing w:after="0"/>
              <w:rPr>
                <w:sz w:val="14"/>
                <w:szCs w:val="14"/>
                <w:color w:val="auto"/>
              </w:rPr>
            </w:pPr>
          </w:p>
        </w:tc>
      </w:tr>
      <w:tr>
        <w:trPr>
          <w:trHeight w:val="20"/>
        </w:trPr>
        <w:tc>
          <w:tcPr>
            <w:tcW w:w="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5300" w:type="dxa"/>
            <w:vAlign w:val="bottom"/>
            <w:gridSpan w:val="3"/>
          </w:tcPr>
          <w:p>
            <w:pPr>
              <w:ind w:left="3000"/>
              <w:spacing w:after="0"/>
              <w:rPr>
                <w:sz w:val="20"/>
                <w:szCs w:val="20"/>
                <w:color w:val="auto"/>
              </w:rPr>
            </w:pPr>
            <w:r>
              <w:rPr>
                <w:rFonts w:ascii="Arial" w:cs="Arial" w:eastAsia="Arial" w:hAnsi="Arial"/>
                <w:sz w:val="14"/>
                <w:szCs w:val="14"/>
                <w:b w:val="1"/>
                <w:bCs w:val="1"/>
                <w:color w:val="auto"/>
              </w:rPr>
              <w:t>Description</w:t>
            </w:r>
          </w:p>
        </w:tc>
        <w:tc>
          <w:tcPr>
            <w:tcW w:w="1860" w:type="dxa"/>
            <w:vAlign w:val="bottom"/>
            <w:gridSpan w:val="2"/>
          </w:tcPr>
          <w:p>
            <w:pPr>
              <w:ind w:left="1500"/>
              <w:spacing w:after="0"/>
              <w:rPr>
                <w:sz w:val="20"/>
                <w:szCs w:val="20"/>
                <w:color w:val="auto"/>
              </w:rPr>
            </w:pPr>
            <w:r>
              <w:rPr>
                <w:rFonts w:ascii="Arial" w:cs="Arial" w:eastAsia="Arial" w:hAnsi="Arial"/>
                <w:sz w:val="14"/>
                <w:szCs w:val="14"/>
                <w:b w:val="1"/>
                <w:bCs w:val="1"/>
                <w:color w:val="auto"/>
                <w:w w:val="97"/>
              </w:rPr>
              <w:t>Form</w:t>
            </w:r>
          </w:p>
        </w:tc>
        <w:tc>
          <w:tcPr>
            <w:tcW w:w="48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SEC File No.</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54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56" w:lineRule="exact"/>
        <w:rPr>
          <w:sz w:val="20"/>
          <w:szCs w:val="20"/>
          <w:color w:val="auto"/>
        </w:rPr>
      </w:pPr>
    </w:p>
    <w:p>
      <w:pPr>
        <w:sectPr>
          <w:pgSz w:w="11900" w:h="16838" w:orient="portrait"/>
          <w:cols w:equalWidth="0" w:num="1">
            <w:col w:w="11400"/>
          </w:cols>
          <w:pgMar w:left="240" w:top="1008" w:right="259" w:bottom="1440" w:gutter="0" w:footer="0" w:header="0"/>
        </w:sectPr>
      </w:pPr>
    </w:p>
    <w:p>
      <w:pPr>
        <w:ind w:left="360"/>
        <w:spacing w:after="0"/>
        <w:tabs>
          <w:tab w:leader="none" w:pos="940" w:val="left"/>
        </w:tabs>
        <w:rPr>
          <w:rFonts w:ascii="Arial" w:cs="Arial" w:eastAsia="Arial" w:hAnsi="Arial"/>
          <w:sz w:val="16"/>
          <w:szCs w:val="16"/>
          <w:u w:val="single" w:color="auto"/>
          <w:color w:val="0000FF"/>
        </w:rPr>
      </w:pPr>
      <w:hyperlink r:id="rId8">
        <w:r>
          <w:rPr>
            <w:rFonts w:ascii="Arial" w:cs="Arial" w:eastAsia="Arial" w:hAnsi="Arial"/>
            <w:sz w:val="16"/>
            <w:szCs w:val="16"/>
            <w:u w:val="single" w:color="auto"/>
            <w:color w:val="0000FF"/>
          </w:rPr>
          <w:t>4.1</w:t>
        </w:r>
      </w:hyperlink>
      <w:r>
        <w:rPr>
          <w:rFonts w:ascii="Arial" w:cs="Arial" w:eastAsia="Arial" w:hAnsi="Arial"/>
          <w:sz w:val="16"/>
          <w:szCs w:val="16"/>
          <w:u w:val="single" w:color="auto"/>
          <w:color w:val="0000FF"/>
        </w:rPr>
        <w:tab/>
      </w:r>
      <w:hyperlink r:id="rId8">
        <w:r>
          <w:rPr>
            <w:rFonts w:ascii="Arial" w:cs="Arial" w:eastAsia="Arial" w:hAnsi="Arial"/>
            <w:sz w:val="16"/>
            <w:szCs w:val="16"/>
            <w:u w:val="single" w:color="auto"/>
            <w:color w:val="0000FF"/>
          </w:rPr>
          <w:t>Specimen Class A Common Stock Certificate</w:t>
        </w:r>
      </w:hyperlink>
    </w:p>
    <w:p>
      <w:pPr>
        <w:spacing w:after="0" w:line="59" w:lineRule="exact"/>
        <w:rPr>
          <w:sz w:val="20"/>
          <w:szCs w:val="20"/>
          <w:color w:val="auto"/>
        </w:rPr>
      </w:pPr>
    </w:p>
    <w:p>
      <w:pPr>
        <w:ind w:left="360"/>
        <w:spacing w:after="0"/>
        <w:tabs>
          <w:tab w:leader="none" w:pos="940" w:val="left"/>
        </w:tabs>
        <w:rPr>
          <w:rFonts w:ascii="Arial" w:cs="Arial" w:eastAsia="Arial" w:hAnsi="Arial"/>
          <w:sz w:val="16"/>
          <w:szCs w:val="16"/>
          <w:u w:val="single" w:color="auto"/>
          <w:color w:val="0000FF"/>
        </w:rPr>
      </w:pPr>
      <w:hyperlink r:id="rId9">
        <w:r>
          <w:rPr>
            <w:rFonts w:ascii="Arial" w:cs="Arial" w:eastAsia="Arial" w:hAnsi="Arial"/>
            <w:sz w:val="16"/>
            <w:szCs w:val="16"/>
            <w:u w:val="single" w:color="auto"/>
            <w:color w:val="0000FF"/>
          </w:rPr>
          <w:t>4.2</w:t>
        </w:r>
      </w:hyperlink>
      <w:r>
        <w:rPr>
          <w:rFonts w:ascii="Arial" w:cs="Arial" w:eastAsia="Arial" w:hAnsi="Arial"/>
          <w:sz w:val="16"/>
          <w:szCs w:val="16"/>
          <w:u w:val="single" w:color="auto"/>
          <w:color w:val="0000FF"/>
        </w:rPr>
        <w:tab/>
      </w:r>
      <w:hyperlink r:id="rId9">
        <w:r>
          <w:rPr>
            <w:rFonts w:ascii="Arial" w:cs="Arial" w:eastAsia="Arial" w:hAnsi="Arial"/>
            <w:sz w:val="16"/>
            <w:szCs w:val="16"/>
            <w:u w:val="single" w:color="auto"/>
            <w:color w:val="0000FF"/>
          </w:rPr>
          <w:t>2016 Equity Incentive Plan and forms of equity agreements thereunder</w:t>
        </w:r>
      </w:hyperlink>
    </w:p>
    <w:p>
      <w:pPr>
        <w:spacing w:after="0" w:line="59" w:lineRule="exact"/>
        <w:rPr>
          <w:sz w:val="20"/>
          <w:szCs w:val="20"/>
          <w:color w:val="auto"/>
        </w:rPr>
      </w:pPr>
    </w:p>
    <w:p>
      <w:pPr>
        <w:ind w:left="360"/>
        <w:spacing w:after="0"/>
        <w:tabs>
          <w:tab w:leader="none" w:pos="940" w:val="left"/>
        </w:tabs>
        <w:rPr>
          <w:rFonts w:ascii="Arial" w:cs="Arial" w:eastAsia="Arial" w:hAnsi="Arial"/>
          <w:sz w:val="16"/>
          <w:szCs w:val="16"/>
          <w:u w:val="single" w:color="auto"/>
          <w:color w:val="0000FF"/>
        </w:rPr>
      </w:pPr>
      <w:hyperlink r:id="rId10">
        <w:r>
          <w:rPr>
            <w:rFonts w:ascii="Arial" w:cs="Arial" w:eastAsia="Arial" w:hAnsi="Arial"/>
            <w:sz w:val="16"/>
            <w:szCs w:val="16"/>
            <w:u w:val="single" w:color="auto"/>
            <w:color w:val="0000FF"/>
          </w:rPr>
          <w:t>4.3</w:t>
        </w:r>
      </w:hyperlink>
      <w:r>
        <w:rPr>
          <w:rFonts w:ascii="Arial" w:cs="Arial" w:eastAsia="Arial" w:hAnsi="Arial"/>
          <w:sz w:val="16"/>
          <w:szCs w:val="16"/>
          <w:u w:val="single" w:color="auto"/>
          <w:color w:val="0000FF"/>
        </w:rPr>
        <w:tab/>
      </w:r>
      <w:hyperlink r:id="rId10">
        <w:r>
          <w:rPr>
            <w:rFonts w:ascii="Arial" w:cs="Arial" w:eastAsia="Arial" w:hAnsi="Arial"/>
            <w:sz w:val="16"/>
            <w:szCs w:val="16"/>
            <w:u w:val="single" w:color="auto"/>
            <w:color w:val="0000FF"/>
          </w:rPr>
          <w:t>2016 Employee Stock Purchase Plan and forms of equity agreements thereunder</w:t>
        </w:r>
      </w:hyperlink>
    </w:p>
    <w:p>
      <w:pPr>
        <w:spacing w:after="0" w:line="59"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6"/>
          <w:szCs w:val="16"/>
          <w:u w:val="single" w:color="auto"/>
          <w:color w:val="0000FF"/>
        </w:rPr>
        <w:t>5.1</w:t>
      </w:r>
      <w:r>
        <w:rPr>
          <w:rFonts w:ascii="Arial" w:cs="Arial" w:eastAsia="Arial" w:hAnsi="Arial"/>
          <w:sz w:val="16"/>
          <w:szCs w:val="16"/>
          <w:color w:val="000000"/>
        </w:rPr>
        <w:t>*</w:t>
      </w:r>
      <w:r>
        <w:rPr>
          <w:sz w:val="20"/>
          <w:szCs w:val="20"/>
          <w:color w:val="auto"/>
        </w:rPr>
        <w:tab/>
      </w:r>
      <w:r>
        <w:rPr>
          <w:rFonts w:ascii="Arial" w:cs="Arial" w:eastAsia="Arial" w:hAnsi="Arial"/>
          <w:sz w:val="16"/>
          <w:szCs w:val="16"/>
          <w:u w:val="single" w:color="auto"/>
          <w:color w:val="0000FF"/>
        </w:rPr>
        <w:t>Opinion of Wilson Sonsini Goodrich &amp; Rosati, Professional Corporation</w:t>
      </w:r>
    </w:p>
    <w:p>
      <w:pPr>
        <w:spacing w:after="0" w:line="73" w:lineRule="exact"/>
        <w:rPr>
          <w:sz w:val="20"/>
          <w:szCs w:val="20"/>
          <w:color w:val="auto"/>
        </w:rPr>
      </w:pPr>
    </w:p>
    <w:p>
      <w:pPr>
        <w:ind w:left="960" w:hanging="674"/>
        <w:spacing w:after="0" w:line="260" w:lineRule="auto"/>
        <w:tabs>
          <w:tab w:leader="none" w:pos="940" w:val="left"/>
        </w:tabs>
        <w:rPr>
          <w:sz w:val="20"/>
          <w:szCs w:val="20"/>
          <w:color w:val="auto"/>
        </w:rPr>
      </w:pPr>
      <w:r>
        <w:rPr>
          <w:rFonts w:ascii="Arial" w:cs="Arial" w:eastAsia="Arial" w:hAnsi="Arial"/>
          <w:sz w:val="16"/>
          <w:szCs w:val="16"/>
          <w:u w:val="single" w:color="auto"/>
          <w:color w:val="0000FF"/>
        </w:rPr>
        <w:t>23.1</w:t>
      </w:r>
      <w:r>
        <w:rPr>
          <w:rFonts w:ascii="Arial" w:cs="Arial" w:eastAsia="Arial" w:hAnsi="Arial"/>
          <w:sz w:val="16"/>
          <w:szCs w:val="16"/>
          <w:color w:val="000000"/>
        </w:rPr>
        <w:t>*</w:t>
      </w:r>
      <w:r>
        <w:rPr>
          <w:sz w:val="20"/>
          <w:szCs w:val="20"/>
          <w:color w:val="auto"/>
        </w:rPr>
        <w:tab/>
      </w:r>
      <w:r>
        <w:rPr>
          <w:rFonts w:ascii="Arial" w:cs="Arial" w:eastAsia="Arial" w:hAnsi="Arial"/>
          <w:sz w:val="16"/>
          <w:szCs w:val="16"/>
          <w:u w:val="single" w:color="auto"/>
          <w:color w:val="0000FF"/>
        </w:rPr>
        <w:t>Consent of Wilson Sonsini Goodrich &amp; Rosati, Professional Corporation (contained in Exhibit 5.1 hereto)</w:t>
      </w:r>
    </w:p>
    <w:p>
      <w:pPr>
        <w:spacing w:after="0" w:line="34" w:lineRule="exact"/>
        <w:rPr>
          <w:sz w:val="20"/>
          <w:szCs w:val="20"/>
          <w:color w:val="auto"/>
        </w:rPr>
      </w:pPr>
    </w:p>
    <w:p>
      <w:pPr>
        <w:ind w:left="280"/>
        <w:spacing w:after="0"/>
        <w:tabs>
          <w:tab w:leader="none" w:pos="940" w:val="left"/>
        </w:tabs>
        <w:rPr>
          <w:sz w:val="20"/>
          <w:szCs w:val="20"/>
          <w:color w:val="auto"/>
        </w:rPr>
      </w:pPr>
      <w:r>
        <w:rPr>
          <w:rFonts w:ascii="Arial" w:cs="Arial" w:eastAsia="Arial" w:hAnsi="Arial"/>
          <w:sz w:val="16"/>
          <w:szCs w:val="16"/>
          <w:u w:val="single" w:color="auto"/>
          <w:color w:val="0000FF"/>
        </w:rPr>
        <w:t>23.2</w:t>
      </w:r>
      <w:r>
        <w:rPr>
          <w:rFonts w:ascii="Arial" w:cs="Arial" w:eastAsia="Arial" w:hAnsi="Arial"/>
          <w:sz w:val="16"/>
          <w:szCs w:val="16"/>
          <w:color w:val="000000"/>
        </w:rPr>
        <w:t>*</w:t>
      </w:r>
      <w:r>
        <w:rPr>
          <w:sz w:val="20"/>
          <w:szCs w:val="20"/>
          <w:color w:val="auto"/>
        </w:rPr>
        <w:tab/>
      </w:r>
      <w:r>
        <w:rPr>
          <w:rFonts w:ascii="Arial" w:cs="Arial" w:eastAsia="Arial" w:hAnsi="Arial"/>
          <w:sz w:val="16"/>
          <w:szCs w:val="16"/>
          <w:u w:val="single" w:color="auto"/>
          <w:color w:val="0000FF"/>
        </w:rPr>
        <w:t>Consent of Deloitte &amp; Touche LLP, Independent Registered Public Accounting Firm</w:t>
      </w:r>
    </w:p>
    <w:p>
      <w:pPr>
        <w:spacing w:after="0" w:line="73" w:lineRule="exact"/>
        <w:rPr>
          <w:sz w:val="20"/>
          <w:szCs w:val="20"/>
          <w:color w:val="auto"/>
        </w:rPr>
      </w:pPr>
    </w:p>
    <w:p>
      <w:pPr>
        <w:ind w:left="280"/>
        <w:spacing w:after="0"/>
        <w:tabs>
          <w:tab w:leader="none" w:pos="940" w:val="left"/>
        </w:tabs>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24.1</w:t>
        </w:r>
      </w:hyperlink>
      <w:r>
        <w:rPr>
          <w:rFonts w:ascii="Arial" w:cs="Arial" w:eastAsia="Arial" w:hAnsi="Arial"/>
          <w:sz w:val="16"/>
          <w:szCs w:val="16"/>
          <w:color w:val="000000"/>
        </w:rPr>
        <w:t>*</w:t>
      </w:r>
      <w:r>
        <w:rPr>
          <w:rFonts w:ascii="Arial" w:cs="Arial" w:eastAsia="Arial" w:hAnsi="Arial"/>
          <w:sz w:val="16"/>
          <w:szCs w:val="16"/>
          <w:color w:val="0000EE"/>
        </w:rPr>
        <w:tab/>
      </w:r>
      <w:hyperlink w:anchor="page5">
        <w:r>
          <w:rPr>
            <w:rFonts w:ascii="Arial" w:cs="Arial" w:eastAsia="Arial" w:hAnsi="Arial"/>
            <w:sz w:val="16"/>
            <w:szCs w:val="16"/>
            <w:u w:val="single" w:color="auto"/>
            <w:color w:val="0000EE"/>
          </w:rPr>
          <w:t>Power of Attorney (included on the signature page hereto)</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jc w:val="center"/>
              <w:ind w:right="159"/>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rPr>
              <w:t>333-208711</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960" w:type="dxa"/>
            <w:vAlign w:val="bottom"/>
          </w:tcPr>
          <w:p>
            <w:pPr>
              <w:jc w:val="center"/>
              <w:ind w:left="139"/>
              <w:spacing w:after="0"/>
              <w:rPr>
                <w:sz w:val="20"/>
                <w:szCs w:val="20"/>
                <w:color w:val="auto"/>
              </w:rPr>
            </w:pPr>
            <w:r>
              <w:rPr>
                <w:rFonts w:ascii="Arial" w:cs="Arial" w:eastAsia="Arial" w:hAnsi="Arial"/>
                <w:sz w:val="16"/>
                <w:szCs w:val="16"/>
                <w:color w:val="auto"/>
                <w:w w:val="99"/>
              </w:rPr>
              <w:t>4/4/2016</w:t>
            </w:r>
          </w:p>
        </w:tc>
      </w:tr>
      <w:tr>
        <w:trPr>
          <w:trHeight w:val="243"/>
        </w:trPr>
        <w:tc>
          <w:tcPr>
            <w:tcW w:w="640" w:type="dxa"/>
            <w:vAlign w:val="bottom"/>
          </w:tcPr>
          <w:p>
            <w:pPr>
              <w:jc w:val="center"/>
              <w:ind w:right="159"/>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rPr>
              <w:t>333-208711</w:t>
            </w:r>
          </w:p>
        </w:tc>
        <w:tc>
          <w:tcPr>
            <w:tcW w:w="780" w:type="dxa"/>
            <w:vAlign w:val="bottom"/>
          </w:tcPr>
          <w:p>
            <w:pPr>
              <w:jc w:val="center"/>
              <w:spacing w:after="0"/>
              <w:rPr>
                <w:sz w:val="20"/>
                <w:szCs w:val="20"/>
                <w:color w:val="auto"/>
              </w:rPr>
            </w:pPr>
            <w:r>
              <w:rPr>
                <w:rFonts w:ascii="Arial" w:cs="Arial" w:eastAsia="Arial" w:hAnsi="Arial"/>
                <w:sz w:val="16"/>
                <w:szCs w:val="16"/>
                <w:color w:val="auto"/>
              </w:rPr>
              <w:t>10.4</w:t>
            </w:r>
          </w:p>
        </w:tc>
        <w:tc>
          <w:tcPr>
            <w:tcW w:w="960" w:type="dxa"/>
            <w:vAlign w:val="bottom"/>
          </w:tcPr>
          <w:p>
            <w:pPr>
              <w:jc w:val="center"/>
              <w:ind w:left="159"/>
              <w:spacing w:after="0"/>
              <w:rPr>
                <w:sz w:val="20"/>
                <w:szCs w:val="20"/>
                <w:color w:val="auto"/>
              </w:rPr>
            </w:pPr>
            <w:r>
              <w:rPr>
                <w:rFonts w:ascii="Arial" w:cs="Arial" w:eastAsia="Arial" w:hAnsi="Arial"/>
                <w:sz w:val="16"/>
                <w:szCs w:val="16"/>
                <w:color w:val="auto"/>
              </w:rPr>
              <w:t>9/19/2016</w:t>
            </w:r>
          </w:p>
        </w:tc>
      </w:tr>
      <w:tr>
        <w:trPr>
          <w:trHeight w:val="243"/>
        </w:trPr>
        <w:tc>
          <w:tcPr>
            <w:tcW w:w="640" w:type="dxa"/>
            <w:vAlign w:val="bottom"/>
          </w:tcPr>
          <w:p>
            <w:pPr>
              <w:jc w:val="center"/>
              <w:ind w:right="159"/>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rPr>
              <w:t>333-208711</w:t>
            </w:r>
          </w:p>
        </w:tc>
        <w:tc>
          <w:tcPr>
            <w:tcW w:w="780" w:type="dxa"/>
            <w:vAlign w:val="bottom"/>
          </w:tcPr>
          <w:p>
            <w:pPr>
              <w:jc w:val="center"/>
              <w:spacing w:after="0"/>
              <w:rPr>
                <w:sz w:val="20"/>
                <w:szCs w:val="20"/>
                <w:color w:val="auto"/>
              </w:rPr>
            </w:pPr>
            <w:r>
              <w:rPr>
                <w:rFonts w:ascii="Arial" w:cs="Arial" w:eastAsia="Arial" w:hAnsi="Arial"/>
                <w:sz w:val="16"/>
                <w:szCs w:val="16"/>
                <w:color w:val="auto"/>
              </w:rPr>
              <w:t>10.5</w:t>
            </w:r>
          </w:p>
        </w:tc>
        <w:tc>
          <w:tcPr>
            <w:tcW w:w="960" w:type="dxa"/>
            <w:vAlign w:val="bottom"/>
          </w:tcPr>
          <w:p>
            <w:pPr>
              <w:jc w:val="center"/>
              <w:ind w:left="159"/>
              <w:spacing w:after="0"/>
              <w:rPr>
                <w:sz w:val="20"/>
                <w:szCs w:val="20"/>
                <w:color w:val="auto"/>
              </w:rPr>
            </w:pPr>
            <w:r>
              <w:rPr>
                <w:rFonts w:ascii="Arial" w:cs="Arial" w:eastAsia="Arial" w:hAnsi="Arial"/>
                <w:sz w:val="16"/>
                <w:szCs w:val="16"/>
                <w:color w:val="auto"/>
              </w:rPr>
              <w:t>9/19/2016</w:t>
            </w:r>
          </w:p>
        </w:tc>
      </w:tr>
      <w:tr>
        <w:trPr>
          <w:trHeight w:val="243"/>
        </w:trPr>
        <w:tc>
          <w:tcPr>
            <w:tcW w:w="640" w:type="dxa"/>
            <w:vAlign w:val="bottom"/>
          </w:tcPr>
          <w:p>
            <w:pPr>
              <w:jc w:val="center"/>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rPr>
              <w:t>*</w:t>
            </w:r>
          </w:p>
        </w:tc>
        <w:tc>
          <w:tcPr>
            <w:tcW w:w="780" w:type="dxa"/>
            <w:vAlign w:val="bottom"/>
          </w:tcPr>
          <w:p>
            <w:pPr>
              <w:jc w:val="center"/>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left="159"/>
              <w:spacing w:after="0"/>
              <w:rPr>
                <w:sz w:val="20"/>
                <w:szCs w:val="20"/>
                <w:color w:val="auto"/>
              </w:rPr>
            </w:pPr>
            <w:r>
              <w:rPr>
                <w:rFonts w:ascii="Arial" w:cs="Arial" w:eastAsia="Arial" w:hAnsi="Arial"/>
                <w:sz w:val="16"/>
                <w:szCs w:val="16"/>
                <w:color w:val="auto"/>
              </w:rPr>
              <w:t>*</w:t>
            </w:r>
          </w:p>
        </w:tc>
      </w:tr>
      <w:tr>
        <w:trPr>
          <w:trHeight w:val="257"/>
        </w:trPr>
        <w:tc>
          <w:tcPr>
            <w:tcW w:w="640" w:type="dxa"/>
            <w:vAlign w:val="bottom"/>
          </w:tcPr>
          <w:p>
            <w:pPr>
              <w:jc w:val="center"/>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rPr>
              <w:t>*</w:t>
            </w:r>
          </w:p>
        </w:tc>
        <w:tc>
          <w:tcPr>
            <w:tcW w:w="780" w:type="dxa"/>
            <w:vAlign w:val="bottom"/>
          </w:tcPr>
          <w:p>
            <w:pPr>
              <w:jc w:val="center"/>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left="159"/>
              <w:spacing w:after="0"/>
              <w:rPr>
                <w:sz w:val="20"/>
                <w:szCs w:val="20"/>
                <w:color w:val="auto"/>
              </w:rPr>
            </w:pPr>
            <w:r>
              <w:rPr>
                <w:rFonts w:ascii="Arial" w:cs="Arial" w:eastAsia="Arial" w:hAnsi="Arial"/>
                <w:sz w:val="16"/>
                <w:szCs w:val="16"/>
                <w:color w:val="auto"/>
              </w:rPr>
              <w:t>*</w:t>
            </w:r>
          </w:p>
        </w:tc>
      </w:tr>
      <w:tr>
        <w:trPr>
          <w:trHeight w:val="432"/>
        </w:trPr>
        <w:tc>
          <w:tcPr>
            <w:tcW w:w="640" w:type="dxa"/>
            <w:vAlign w:val="bottom"/>
          </w:tcPr>
          <w:p>
            <w:pPr>
              <w:jc w:val="center"/>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rPr>
              <w:t>*</w:t>
            </w:r>
          </w:p>
        </w:tc>
        <w:tc>
          <w:tcPr>
            <w:tcW w:w="780" w:type="dxa"/>
            <w:vAlign w:val="bottom"/>
          </w:tcPr>
          <w:p>
            <w:pPr>
              <w:jc w:val="center"/>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left="159"/>
              <w:spacing w:after="0"/>
              <w:rPr>
                <w:sz w:val="20"/>
                <w:szCs w:val="20"/>
                <w:color w:val="auto"/>
              </w:rPr>
            </w:pPr>
            <w:r>
              <w:rPr>
                <w:rFonts w:ascii="Arial" w:cs="Arial" w:eastAsia="Arial" w:hAnsi="Arial"/>
                <w:sz w:val="16"/>
                <w:szCs w:val="16"/>
                <w:color w:val="auto"/>
              </w:rPr>
              <w:t>*</w:t>
            </w:r>
          </w:p>
        </w:tc>
      </w:tr>
      <w:tr>
        <w:trPr>
          <w:trHeight w:val="257"/>
        </w:trPr>
        <w:tc>
          <w:tcPr>
            <w:tcW w:w="640" w:type="dxa"/>
            <w:vAlign w:val="bottom"/>
          </w:tcPr>
          <w:p>
            <w:pPr>
              <w:jc w:val="center"/>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rPr>
              <w:t>*</w:t>
            </w:r>
          </w:p>
        </w:tc>
        <w:tc>
          <w:tcPr>
            <w:tcW w:w="780" w:type="dxa"/>
            <w:vAlign w:val="bottom"/>
          </w:tcPr>
          <w:p>
            <w:pPr>
              <w:jc w:val="center"/>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left="15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2">
            <w:col w:w="7060" w:space="460"/>
            <w:col w:w="3880"/>
          </w:cols>
          <w:pgMar w:left="240" w:top="1008" w:right="2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 Filed herewith</w:t>
      </w:r>
    </w:p>
    <w:p>
      <w:pPr>
        <w:sectPr>
          <w:pgSz w:w="11900" w:h="16838" w:orient="portrait"/>
          <w:cols w:equalWidth="0" w:num="1">
            <w:col w:w="11400"/>
          </w:cols>
          <w:pgMar w:left="240" w:top="1008" w:right="25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this 28th day of August, 2019.</w:t>
      </w:r>
    </w:p>
    <w:p>
      <w:pPr>
        <w:spacing w:after="0" w:line="126"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NUTANIX, INC.</w:t>
      </w:r>
    </w:p>
    <w:p>
      <w:pPr>
        <w:spacing w:after="0" w:line="2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Dheeraj Pandey</w:t>
      </w:r>
    </w:p>
    <w:p>
      <w:pPr>
        <w:ind w:left="5780"/>
        <w:spacing w:after="0" w:line="234" w:lineRule="auto"/>
        <w:rPr>
          <w:sz w:val="20"/>
          <w:szCs w:val="20"/>
          <w:color w:val="auto"/>
        </w:rPr>
      </w:pPr>
      <w:r>
        <w:rPr>
          <w:rFonts w:ascii="Arial" w:cs="Arial" w:eastAsia="Arial" w:hAnsi="Arial"/>
          <w:sz w:val="18"/>
          <w:szCs w:val="18"/>
          <w:color w:val="auto"/>
        </w:rPr>
        <w:t>Dheeraj Pandey</w:t>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 and Chairman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Dheeraj Pandey and Duston M. Williams, and each of them, as his true and lawful attorneys-in-fact, proxies and agents, each with full power of substitution and resubstitution, for him in any and all capacities, to sign this registration statement on Form S-8 and any or all amendments (including post-effective amendments),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substitute or substitutes, may lawfully do or cause to be done by virtue hereof.</w:t>
      </w:r>
    </w:p>
    <w:p>
      <w:pPr>
        <w:spacing w:after="0" w:line="206"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420"/>
          </w:cols>
          <w:pgMar w:left="240" w:top="1008" w:right="239" w:bottom="1440" w:gutter="0" w:footer="0" w:header="0"/>
        </w:sectPr>
      </w:pPr>
    </w:p>
    <w:p>
      <w:pPr>
        <w:spacing w:after="0" w:line="125"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180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73" w:lineRule="exact"/>
        <w:rPr>
          <w:sz w:val="20"/>
          <w:szCs w:val="20"/>
          <w:color w:val="auto"/>
        </w:rPr>
      </w:pPr>
    </w:p>
    <w:p>
      <w:pPr>
        <w:jc w:val="center"/>
        <w:ind w:left="600"/>
        <w:spacing w:after="0"/>
        <w:rPr>
          <w:sz w:val="20"/>
          <w:szCs w:val="20"/>
          <w:color w:val="auto"/>
        </w:rPr>
      </w:pPr>
      <w:r>
        <w:rPr>
          <w:rFonts w:ascii="Arial" w:cs="Arial" w:eastAsia="Arial" w:hAnsi="Arial"/>
          <w:sz w:val="16"/>
          <w:szCs w:val="16"/>
          <w:u w:val="single" w:color="auto"/>
          <w:color w:val="auto"/>
        </w:rPr>
        <w:t>/s/ Dheeraj Pandey</w:t>
      </w:r>
    </w:p>
    <w:p>
      <w:pPr>
        <w:spacing w:after="0" w:line="8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Dheeraj Pandey</w:t>
      </w:r>
    </w:p>
    <w:p>
      <w:pPr>
        <w:spacing w:after="0" w:line="221" w:lineRule="exact"/>
        <w:rPr>
          <w:sz w:val="20"/>
          <w:szCs w:val="20"/>
          <w:color w:val="auto"/>
        </w:rPr>
      </w:pPr>
    </w:p>
    <w:p>
      <w:pPr>
        <w:jc w:val="center"/>
        <w:ind w:left="600"/>
        <w:spacing w:after="0"/>
        <w:rPr>
          <w:sz w:val="20"/>
          <w:szCs w:val="20"/>
          <w:color w:val="auto"/>
        </w:rPr>
      </w:pPr>
      <w:r>
        <w:rPr>
          <w:rFonts w:ascii="Arial" w:cs="Arial" w:eastAsia="Arial" w:hAnsi="Arial"/>
          <w:sz w:val="16"/>
          <w:szCs w:val="16"/>
          <w:u w:val="single" w:color="auto"/>
          <w:color w:val="auto"/>
        </w:rPr>
        <w:t>/s/ Duston M. Williams</w:t>
      </w:r>
    </w:p>
    <w:p>
      <w:pPr>
        <w:spacing w:after="0" w:line="154"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Duston M. Williams</w:t>
      </w:r>
    </w:p>
    <w:p>
      <w:pPr>
        <w:spacing w:after="0" w:line="181" w:lineRule="exact"/>
        <w:rPr>
          <w:sz w:val="20"/>
          <w:szCs w:val="20"/>
          <w:color w:val="auto"/>
        </w:rPr>
      </w:pPr>
    </w:p>
    <w:p>
      <w:pPr>
        <w:jc w:val="center"/>
        <w:ind w:left="600"/>
        <w:spacing w:after="0"/>
        <w:rPr>
          <w:sz w:val="20"/>
          <w:szCs w:val="20"/>
          <w:color w:val="auto"/>
        </w:rPr>
      </w:pPr>
      <w:r>
        <w:rPr>
          <w:rFonts w:ascii="Arial" w:cs="Arial" w:eastAsia="Arial" w:hAnsi="Arial"/>
          <w:sz w:val="16"/>
          <w:szCs w:val="16"/>
          <w:u w:val="single" w:color="auto"/>
          <w:color w:val="auto"/>
        </w:rPr>
        <w:t>/s/ Susan L. Bostrom</w:t>
      </w:r>
    </w:p>
    <w:p>
      <w:pPr>
        <w:spacing w:after="0" w:line="8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Susan L. Bostrom</w:t>
      </w:r>
    </w:p>
    <w:p>
      <w:pPr>
        <w:spacing w:after="0" w:line="181" w:lineRule="exact"/>
        <w:rPr>
          <w:sz w:val="20"/>
          <w:szCs w:val="20"/>
          <w:color w:val="auto"/>
        </w:rPr>
      </w:pPr>
    </w:p>
    <w:p>
      <w:pPr>
        <w:jc w:val="center"/>
        <w:ind w:left="600"/>
        <w:spacing w:after="0"/>
        <w:rPr>
          <w:sz w:val="20"/>
          <w:szCs w:val="20"/>
          <w:color w:val="auto"/>
        </w:rPr>
      </w:pPr>
      <w:r>
        <w:rPr>
          <w:rFonts w:ascii="Arial" w:cs="Arial" w:eastAsia="Arial" w:hAnsi="Arial"/>
          <w:sz w:val="16"/>
          <w:szCs w:val="16"/>
          <w:u w:val="single" w:color="auto"/>
          <w:color w:val="auto"/>
        </w:rPr>
        <w:t>/s/ Craig Conway</w:t>
      </w:r>
    </w:p>
    <w:p>
      <w:pPr>
        <w:spacing w:after="0" w:line="8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Craig Conway</w:t>
      </w:r>
    </w:p>
    <w:p>
      <w:pPr>
        <w:spacing w:after="0" w:line="181" w:lineRule="exact"/>
        <w:rPr>
          <w:sz w:val="20"/>
          <w:szCs w:val="20"/>
          <w:color w:val="auto"/>
        </w:rPr>
      </w:pPr>
    </w:p>
    <w:p>
      <w:pPr>
        <w:jc w:val="center"/>
        <w:ind w:left="600"/>
        <w:spacing w:after="0"/>
        <w:rPr>
          <w:sz w:val="20"/>
          <w:szCs w:val="20"/>
          <w:color w:val="auto"/>
        </w:rPr>
      </w:pPr>
      <w:r>
        <w:rPr>
          <w:rFonts w:ascii="Arial" w:cs="Arial" w:eastAsia="Arial" w:hAnsi="Arial"/>
          <w:sz w:val="16"/>
          <w:szCs w:val="16"/>
          <w:u w:val="single" w:color="auto"/>
          <w:color w:val="auto"/>
        </w:rPr>
        <w:t>/s/ Steven J. Gomo</w:t>
      </w:r>
    </w:p>
    <w:p>
      <w:pPr>
        <w:spacing w:after="0" w:line="8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Steven J. Gomo</w:t>
      </w:r>
    </w:p>
    <w:p>
      <w:pPr>
        <w:spacing w:after="0" w:line="181" w:lineRule="exact"/>
        <w:rPr>
          <w:sz w:val="20"/>
          <w:szCs w:val="20"/>
          <w:color w:val="auto"/>
        </w:rPr>
      </w:pPr>
    </w:p>
    <w:p>
      <w:pPr>
        <w:jc w:val="center"/>
        <w:ind w:left="600"/>
        <w:spacing w:after="0"/>
        <w:rPr>
          <w:sz w:val="20"/>
          <w:szCs w:val="20"/>
          <w:color w:val="auto"/>
        </w:rPr>
      </w:pPr>
      <w:r>
        <w:rPr>
          <w:rFonts w:ascii="Arial" w:cs="Arial" w:eastAsia="Arial" w:hAnsi="Arial"/>
          <w:sz w:val="16"/>
          <w:szCs w:val="16"/>
          <w:u w:val="single" w:color="auto"/>
          <w:color w:val="auto"/>
        </w:rPr>
        <w:t>/s/ John McAdam</w:t>
      </w:r>
    </w:p>
    <w:p>
      <w:pPr>
        <w:spacing w:after="0" w:line="8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John McAdam</w:t>
      </w:r>
    </w:p>
    <w:p>
      <w:pPr>
        <w:spacing w:after="0" w:line="181" w:lineRule="exact"/>
        <w:rPr>
          <w:sz w:val="20"/>
          <w:szCs w:val="20"/>
          <w:color w:val="auto"/>
        </w:rPr>
      </w:pPr>
    </w:p>
    <w:p>
      <w:pPr>
        <w:jc w:val="center"/>
        <w:ind w:left="600"/>
        <w:spacing w:after="0"/>
        <w:rPr>
          <w:sz w:val="20"/>
          <w:szCs w:val="20"/>
          <w:color w:val="auto"/>
        </w:rPr>
      </w:pPr>
      <w:r>
        <w:rPr>
          <w:rFonts w:ascii="Arial" w:cs="Arial" w:eastAsia="Arial" w:hAnsi="Arial"/>
          <w:sz w:val="16"/>
          <w:szCs w:val="16"/>
          <w:u w:val="single" w:color="auto"/>
          <w:color w:val="auto"/>
        </w:rPr>
        <w:t>/s/ Ravi Mhatre</w:t>
      </w:r>
    </w:p>
    <w:p>
      <w:pPr>
        <w:spacing w:after="0" w:line="8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Ravi Mhatre</w:t>
      </w:r>
    </w:p>
    <w:p>
      <w:pPr>
        <w:spacing w:after="0" w:line="208" w:lineRule="exact"/>
        <w:rPr>
          <w:sz w:val="20"/>
          <w:szCs w:val="20"/>
          <w:color w:val="auto"/>
        </w:rPr>
      </w:pPr>
    </w:p>
    <w:p>
      <w:pPr>
        <w:jc w:val="center"/>
        <w:ind w:left="600"/>
        <w:spacing w:after="0"/>
        <w:rPr>
          <w:sz w:val="20"/>
          <w:szCs w:val="20"/>
          <w:color w:val="auto"/>
        </w:rPr>
      </w:pPr>
      <w:r>
        <w:rPr>
          <w:rFonts w:ascii="Arial" w:cs="Arial" w:eastAsia="Arial" w:hAnsi="Arial"/>
          <w:sz w:val="16"/>
          <w:szCs w:val="16"/>
          <w:u w:val="single" w:color="auto"/>
          <w:color w:val="auto"/>
        </w:rPr>
        <w:t>/s/ Jeffrey T. Parks</w:t>
      </w:r>
    </w:p>
    <w:p>
      <w:pPr>
        <w:spacing w:after="0" w:line="8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Jeffrey T. Parks</w:t>
      </w:r>
    </w:p>
    <w:p>
      <w:pPr>
        <w:spacing w:after="0" w:line="181" w:lineRule="exact"/>
        <w:rPr>
          <w:sz w:val="20"/>
          <w:szCs w:val="20"/>
          <w:color w:val="auto"/>
        </w:rPr>
      </w:pPr>
    </w:p>
    <w:p>
      <w:pPr>
        <w:jc w:val="center"/>
        <w:ind w:left="600"/>
        <w:spacing w:after="0"/>
        <w:rPr>
          <w:sz w:val="20"/>
          <w:szCs w:val="20"/>
          <w:color w:val="auto"/>
        </w:rPr>
      </w:pPr>
      <w:r>
        <w:rPr>
          <w:rFonts w:ascii="Arial" w:cs="Arial" w:eastAsia="Arial" w:hAnsi="Arial"/>
          <w:sz w:val="15"/>
          <w:szCs w:val="15"/>
          <w:u w:val="single" w:color="auto"/>
          <w:color w:val="auto"/>
        </w:rPr>
        <w:t>/s/ Michael P. Scarpelli</w:t>
      </w:r>
    </w:p>
    <w:p>
      <w:pPr>
        <w:spacing w:after="0" w:line="98"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Michael P. Scarpelli</w:t>
      </w:r>
    </w:p>
    <w:p>
      <w:pPr>
        <w:spacing w:after="0" w:line="208" w:lineRule="exact"/>
        <w:rPr>
          <w:sz w:val="20"/>
          <w:szCs w:val="20"/>
          <w:color w:val="auto"/>
        </w:rPr>
      </w:pPr>
    </w:p>
    <w:p>
      <w:pPr>
        <w:jc w:val="center"/>
        <w:ind w:left="600"/>
        <w:spacing w:after="0"/>
        <w:rPr>
          <w:sz w:val="20"/>
          <w:szCs w:val="20"/>
          <w:color w:val="auto"/>
        </w:rPr>
      </w:pPr>
      <w:r>
        <w:rPr>
          <w:rFonts w:ascii="Arial" w:cs="Arial" w:eastAsia="Arial" w:hAnsi="Arial"/>
          <w:sz w:val="16"/>
          <w:szCs w:val="16"/>
          <w:u w:val="single" w:color="auto"/>
          <w:color w:val="auto"/>
        </w:rPr>
        <w:t>/s/ Brian Stevens</w:t>
      </w:r>
    </w:p>
    <w:p>
      <w:pPr>
        <w:spacing w:after="0" w:line="8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Brian Stevens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Title</w:t>
            </w:r>
          </w:p>
        </w:tc>
        <w:tc>
          <w:tcPr>
            <w:tcW w:w="206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58"/>
        </w:trPr>
        <w:tc>
          <w:tcPr>
            <w:tcW w:w="6260" w:type="dxa"/>
            <w:vAlign w:val="bottom"/>
            <w:gridSpan w:val="2"/>
          </w:tcPr>
          <w:p>
            <w:pPr>
              <w:jc w:val="center"/>
              <w:ind w:right="2060"/>
              <w:spacing w:after="0"/>
              <w:rPr>
                <w:sz w:val="20"/>
                <w:szCs w:val="20"/>
                <w:color w:val="auto"/>
              </w:rPr>
            </w:pPr>
            <w:r>
              <w:rPr>
                <w:rFonts w:ascii="Arial" w:cs="Arial" w:eastAsia="Arial" w:hAnsi="Arial"/>
                <w:sz w:val="16"/>
                <w:szCs w:val="16"/>
                <w:color w:val="auto"/>
              </w:rPr>
              <w:t>Chief Executive Officer and Chairman</w:t>
            </w:r>
          </w:p>
        </w:tc>
        <w:tc>
          <w:tcPr>
            <w:tcW w:w="2160" w:type="dxa"/>
            <w:vAlign w:val="bottom"/>
            <w:vMerge w:val="restart"/>
          </w:tcPr>
          <w:p>
            <w:pPr>
              <w:jc w:val="center"/>
              <w:spacing w:after="0"/>
              <w:rPr>
                <w:sz w:val="20"/>
                <w:szCs w:val="20"/>
                <w:color w:val="auto"/>
              </w:rPr>
            </w:pPr>
            <w:r>
              <w:rPr>
                <w:rFonts w:ascii="Arial" w:cs="Arial" w:eastAsia="Arial" w:hAnsi="Arial"/>
                <w:sz w:val="16"/>
                <w:szCs w:val="16"/>
                <w:color w:val="auto"/>
              </w:rPr>
              <w:t>August 28, 2019</w:t>
            </w:r>
          </w:p>
        </w:tc>
        <w:tc>
          <w:tcPr>
            <w:tcW w:w="0" w:type="dxa"/>
            <w:vAlign w:val="bottom"/>
          </w:tcPr>
          <w:p>
            <w:pPr>
              <w:spacing w:after="0"/>
              <w:rPr>
                <w:sz w:val="1"/>
                <w:szCs w:val="1"/>
                <w:color w:val="auto"/>
              </w:rPr>
            </w:pPr>
          </w:p>
        </w:tc>
      </w:tr>
      <w:tr>
        <w:trPr>
          <w:trHeight w:val="100"/>
        </w:trPr>
        <w:tc>
          <w:tcPr>
            <w:tcW w:w="6260" w:type="dxa"/>
            <w:vAlign w:val="bottom"/>
            <w:gridSpan w:val="2"/>
            <w:vMerge w:val="restart"/>
          </w:tcPr>
          <w:p>
            <w:pPr>
              <w:jc w:val="center"/>
              <w:ind w:right="2060"/>
              <w:spacing w:after="0"/>
              <w:rPr>
                <w:sz w:val="20"/>
                <w:szCs w:val="20"/>
                <w:color w:val="auto"/>
              </w:rPr>
            </w:pPr>
            <w:r>
              <w:rPr>
                <w:rFonts w:ascii="Arial" w:cs="Arial" w:eastAsia="Arial" w:hAnsi="Arial"/>
                <w:sz w:val="16"/>
                <w:szCs w:val="16"/>
                <w:color w:val="auto"/>
              </w:rPr>
              <w:t>(Principal Executive Officer)</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260" w:type="dxa"/>
            <w:vAlign w:val="bottom"/>
            <w:gridSpan w:val="2"/>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0"/>
        </w:trPr>
        <w:tc>
          <w:tcPr>
            <w:tcW w:w="6260" w:type="dxa"/>
            <w:vAlign w:val="bottom"/>
            <w:gridSpan w:val="2"/>
          </w:tcPr>
          <w:p>
            <w:pPr>
              <w:jc w:val="center"/>
              <w:ind w:right="2060"/>
              <w:spacing w:after="0"/>
              <w:rPr>
                <w:sz w:val="20"/>
                <w:szCs w:val="20"/>
                <w:color w:val="auto"/>
              </w:rPr>
            </w:pPr>
            <w:r>
              <w:rPr>
                <w:rFonts w:ascii="Arial" w:cs="Arial" w:eastAsia="Arial" w:hAnsi="Arial"/>
                <w:sz w:val="16"/>
                <w:szCs w:val="16"/>
                <w:color w:val="auto"/>
              </w:rPr>
              <w:t>Chief Financial Officer</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gridSpan w:val="2"/>
          </w:tcPr>
          <w:p>
            <w:pPr>
              <w:jc w:val="center"/>
              <w:ind w:right="2060"/>
              <w:spacing w:after="0"/>
              <w:rPr>
                <w:sz w:val="20"/>
                <w:szCs w:val="20"/>
                <w:color w:val="auto"/>
              </w:rPr>
            </w:pPr>
            <w:r>
              <w:rPr>
                <w:rFonts w:ascii="Arial" w:cs="Arial" w:eastAsia="Arial" w:hAnsi="Arial"/>
                <w:sz w:val="16"/>
                <w:szCs w:val="16"/>
                <w:color w:val="auto"/>
              </w:rPr>
              <w:t>(Principal Financial Officer and Principal Accounting</w:t>
            </w:r>
          </w:p>
        </w:tc>
        <w:tc>
          <w:tcPr>
            <w:tcW w:w="2160" w:type="dxa"/>
            <w:vAlign w:val="bottom"/>
          </w:tcPr>
          <w:p>
            <w:pPr>
              <w:jc w:val="center"/>
              <w:spacing w:after="0"/>
              <w:rPr>
                <w:sz w:val="20"/>
                <w:szCs w:val="20"/>
                <w:color w:val="auto"/>
              </w:rPr>
            </w:pPr>
            <w:r>
              <w:rPr>
                <w:rFonts w:ascii="Arial" w:cs="Arial" w:eastAsia="Arial" w:hAnsi="Arial"/>
                <w:sz w:val="16"/>
                <w:szCs w:val="16"/>
                <w:color w:val="auto"/>
              </w:rPr>
              <w:t>August 28, 2019</w:t>
            </w:r>
          </w:p>
        </w:tc>
        <w:tc>
          <w:tcPr>
            <w:tcW w:w="0" w:type="dxa"/>
            <w:vAlign w:val="bottom"/>
          </w:tcPr>
          <w:p>
            <w:pPr>
              <w:spacing w:after="0"/>
              <w:rPr>
                <w:sz w:val="1"/>
                <w:szCs w:val="1"/>
                <w:color w:val="auto"/>
              </w:rPr>
            </w:pPr>
          </w:p>
        </w:tc>
      </w:tr>
      <w:tr>
        <w:trPr>
          <w:trHeight w:val="195"/>
        </w:trPr>
        <w:tc>
          <w:tcPr>
            <w:tcW w:w="6260" w:type="dxa"/>
            <w:vAlign w:val="bottom"/>
            <w:gridSpan w:val="2"/>
          </w:tcPr>
          <w:p>
            <w:pPr>
              <w:jc w:val="center"/>
              <w:ind w:right="2060"/>
              <w:spacing w:after="0"/>
              <w:rPr>
                <w:sz w:val="20"/>
                <w:szCs w:val="20"/>
                <w:color w:val="auto"/>
              </w:rPr>
            </w:pPr>
            <w:r>
              <w:rPr>
                <w:rFonts w:ascii="Arial" w:cs="Arial" w:eastAsia="Arial" w:hAnsi="Arial"/>
                <w:sz w:val="16"/>
                <w:szCs w:val="16"/>
                <w:color w:val="auto"/>
                <w:w w:val="99"/>
              </w:rPr>
              <w:t>Officer)</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6260" w:type="dxa"/>
            <w:vAlign w:val="bottom"/>
            <w:gridSpan w:val="2"/>
          </w:tcPr>
          <w:p>
            <w:pPr>
              <w:jc w:val="center"/>
              <w:ind w:right="2060"/>
              <w:spacing w:after="0"/>
              <w:rPr>
                <w:sz w:val="20"/>
                <w:szCs w:val="20"/>
                <w:color w:val="auto"/>
              </w:rPr>
            </w:pPr>
            <w:r>
              <w:rPr>
                <w:rFonts w:ascii="Arial" w:cs="Arial" w:eastAsia="Arial" w:hAnsi="Arial"/>
                <w:sz w:val="16"/>
                <w:szCs w:val="16"/>
                <w:color w:val="auto"/>
                <w:w w:val="99"/>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August 28, 2019</w:t>
            </w:r>
          </w:p>
        </w:tc>
        <w:tc>
          <w:tcPr>
            <w:tcW w:w="0" w:type="dxa"/>
            <w:vAlign w:val="bottom"/>
          </w:tcPr>
          <w:p>
            <w:pPr>
              <w:spacing w:after="0"/>
              <w:rPr>
                <w:sz w:val="1"/>
                <w:szCs w:val="1"/>
                <w:color w:val="auto"/>
              </w:rPr>
            </w:pPr>
          </w:p>
        </w:tc>
      </w:tr>
      <w:tr>
        <w:trPr>
          <w:trHeight w:val="635"/>
        </w:trPr>
        <w:tc>
          <w:tcPr>
            <w:tcW w:w="6260" w:type="dxa"/>
            <w:vAlign w:val="bottom"/>
            <w:gridSpan w:val="2"/>
          </w:tcPr>
          <w:p>
            <w:pPr>
              <w:jc w:val="center"/>
              <w:ind w:right="2060"/>
              <w:spacing w:after="0"/>
              <w:rPr>
                <w:sz w:val="20"/>
                <w:szCs w:val="20"/>
                <w:color w:val="auto"/>
              </w:rPr>
            </w:pPr>
            <w:r>
              <w:rPr>
                <w:rFonts w:ascii="Arial" w:cs="Arial" w:eastAsia="Arial" w:hAnsi="Arial"/>
                <w:sz w:val="16"/>
                <w:szCs w:val="16"/>
                <w:color w:val="auto"/>
                <w:w w:val="99"/>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August 28, 2019</w:t>
            </w:r>
          </w:p>
        </w:tc>
        <w:tc>
          <w:tcPr>
            <w:tcW w:w="0" w:type="dxa"/>
            <w:vAlign w:val="bottom"/>
          </w:tcPr>
          <w:p>
            <w:pPr>
              <w:spacing w:after="0"/>
              <w:rPr>
                <w:sz w:val="1"/>
                <w:szCs w:val="1"/>
                <w:color w:val="auto"/>
              </w:rPr>
            </w:pPr>
          </w:p>
        </w:tc>
      </w:tr>
      <w:tr>
        <w:trPr>
          <w:trHeight w:val="635"/>
        </w:trPr>
        <w:tc>
          <w:tcPr>
            <w:tcW w:w="6260" w:type="dxa"/>
            <w:vAlign w:val="bottom"/>
            <w:gridSpan w:val="2"/>
          </w:tcPr>
          <w:p>
            <w:pPr>
              <w:jc w:val="center"/>
              <w:ind w:right="2060"/>
              <w:spacing w:after="0"/>
              <w:rPr>
                <w:sz w:val="20"/>
                <w:szCs w:val="20"/>
                <w:color w:val="auto"/>
              </w:rPr>
            </w:pPr>
            <w:r>
              <w:rPr>
                <w:rFonts w:ascii="Arial" w:cs="Arial" w:eastAsia="Arial" w:hAnsi="Arial"/>
                <w:sz w:val="16"/>
                <w:szCs w:val="16"/>
                <w:color w:val="auto"/>
                <w:w w:val="99"/>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August 28, 2019</w:t>
            </w:r>
          </w:p>
        </w:tc>
        <w:tc>
          <w:tcPr>
            <w:tcW w:w="0" w:type="dxa"/>
            <w:vAlign w:val="bottom"/>
          </w:tcPr>
          <w:p>
            <w:pPr>
              <w:spacing w:after="0"/>
              <w:rPr>
                <w:sz w:val="1"/>
                <w:szCs w:val="1"/>
                <w:color w:val="auto"/>
              </w:rPr>
            </w:pPr>
          </w:p>
        </w:tc>
      </w:tr>
      <w:tr>
        <w:trPr>
          <w:trHeight w:val="635"/>
        </w:trPr>
        <w:tc>
          <w:tcPr>
            <w:tcW w:w="6260" w:type="dxa"/>
            <w:vAlign w:val="bottom"/>
            <w:gridSpan w:val="2"/>
          </w:tcPr>
          <w:p>
            <w:pPr>
              <w:jc w:val="center"/>
              <w:ind w:right="2060"/>
              <w:spacing w:after="0"/>
              <w:rPr>
                <w:sz w:val="20"/>
                <w:szCs w:val="20"/>
                <w:color w:val="auto"/>
              </w:rPr>
            </w:pPr>
            <w:r>
              <w:rPr>
                <w:rFonts w:ascii="Arial" w:cs="Arial" w:eastAsia="Arial" w:hAnsi="Arial"/>
                <w:sz w:val="16"/>
                <w:szCs w:val="16"/>
                <w:color w:val="auto"/>
                <w:w w:val="99"/>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August 28, 2019</w:t>
            </w:r>
          </w:p>
        </w:tc>
        <w:tc>
          <w:tcPr>
            <w:tcW w:w="0" w:type="dxa"/>
            <w:vAlign w:val="bottom"/>
          </w:tcPr>
          <w:p>
            <w:pPr>
              <w:spacing w:after="0"/>
              <w:rPr>
                <w:sz w:val="1"/>
                <w:szCs w:val="1"/>
                <w:color w:val="auto"/>
              </w:rPr>
            </w:pPr>
          </w:p>
        </w:tc>
      </w:tr>
      <w:tr>
        <w:trPr>
          <w:trHeight w:val="635"/>
        </w:trPr>
        <w:tc>
          <w:tcPr>
            <w:tcW w:w="6260" w:type="dxa"/>
            <w:vAlign w:val="bottom"/>
            <w:gridSpan w:val="2"/>
          </w:tcPr>
          <w:p>
            <w:pPr>
              <w:jc w:val="center"/>
              <w:ind w:right="2060"/>
              <w:spacing w:after="0"/>
              <w:rPr>
                <w:sz w:val="20"/>
                <w:szCs w:val="20"/>
                <w:color w:val="auto"/>
              </w:rPr>
            </w:pPr>
            <w:r>
              <w:rPr>
                <w:rFonts w:ascii="Arial" w:cs="Arial" w:eastAsia="Arial" w:hAnsi="Arial"/>
                <w:sz w:val="16"/>
                <w:szCs w:val="16"/>
                <w:color w:val="auto"/>
                <w:w w:val="99"/>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August 28, 2019</w:t>
            </w:r>
          </w:p>
        </w:tc>
        <w:tc>
          <w:tcPr>
            <w:tcW w:w="0" w:type="dxa"/>
            <w:vAlign w:val="bottom"/>
          </w:tcPr>
          <w:p>
            <w:pPr>
              <w:spacing w:after="0"/>
              <w:rPr>
                <w:sz w:val="1"/>
                <w:szCs w:val="1"/>
                <w:color w:val="auto"/>
              </w:rPr>
            </w:pPr>
          </w:p>
        </w:tc>
      </w:tr>
      <w:tr>
        <w:trPr>
          <w:trHeight w:val="648"/>
        </w:trPr>
        <w:tc>
          <w:tcPr>
            <w:tcW w:w="6260" w:type="dxa"/>
            <w:vAlign w:val="bottom"/>
            <w:gridSpan w:val="2"/>
          </w:tcPr>
          <w:p>
            <w:pPr>
              <w:jc w:val="center"/>
              <w:ind w:right="2060"/>
              <w:spacing w:after="0"/>
              <w:rPr>
                <w:sz w:val="20"/>
                <w:szCs w:val="20"/>
                <w:color w:val="auto"/>
              </w:rPr>
            </w:pPr>
            <w:r>
              <w:rPr>
                <w:rFonts w:ascii="Arial" w:cs="Arial" w:eastAsia="Arial" w:hAnsi="Arial"/>
                <w:sz w:val="16"/>
                <w:szCs w:val="16"/>
                <w:color w:val="auto"/>
                <w:w w:val="99"/>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August 28, 2019</w:t>
            </w:r>
          </w:p>
        </w:tc>
        <w:tc>
          <w:tcPr>
            <w:tcW w:w="0" w:type="dxa"/>
            <w:vAlign w:val="bottom"/>
          </w:tcPr>
          <w:p>
            <w:pPr>
              <w:spacing w:after="0"/>
              <w:rPr>
                <w:sz w:val="1"/>
                <w:szCs w:val="1"/>
                <w:color w:val="auto"/>
              </w:rPr>
            </w:pPr>
          </w:p>
        </w:tc>
      </w:tr>
      <w:tr>
        <w:trPr>
          <w:trHeight w:val="648"/>
        </w:trPr>
        <w:tc>
          <w:tcPr>
            <w:tcW w:w="6260" w:type="dxa"/>
            <w:vAlign w:val="bottom"/>
            <w:gridSpan w:val="2"/>
          </w:tcPr>
          <w:p>
            <w:pPr>
              <w:jc w:val="center"/>
              <w:ind w:right="2060"/>
              <w:spacing w:after="0"/>
              <w:rPr>
                <w:sz w:val="20"/>
                <w:szCs w:val="20"/>
                <w:color w:val="auto"/>
              </w:rPr>
            </w:pPr>
            <w:r>
              <w:rPr>
                <w:rFonts w:ascii="Arial" w:cs="Arial" w:eastAsia="Arial" w:hAnsi="Arial"/>
                <w:sz w:val="16"/>
                <w:szCs w:val="16"/>
                <w:color w:val="auto"/>
                <w:w w:val="99"/>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August 28, 2019</w:t>
            </w:r>
          </w:p>
        </w:tc>
        <w:tc>
          <w:tcPr>
            <w:tcW w:w="0" w:type="dxa"/>
            <w:vAlign w:val="bottom"/>
          </w:tcPr>
          <w:p>
            <w:pPr>
              <w:spacing w:after="0"/>
              <w:rPr>
                <w:sz w:val="1"/>
                <w:szCs w:val="1"/>
                <w:color w:val="auto"/>
              </w:rPr>
            </w:pPr>
          </w:p>
        </w:tc>
      </w:tr>
      <w:tr>
        <w:trPr>
          <w:trHeight w:val="648"/>
        </w:trPr>
        <w:tc>
          <w:tcPr>
            <w:tcW w:w="6260" w:type="dxa"/>
            <w:vAlign w:val="bottom"/>
            <w:gridSpan w:val="2"/>
          </w:tcPr>
          <w:p>
            <w:pPr>
              <w:jc w:val="center"/>
              <w:ind w:right="2060"/>
              <w:spacing w:after="0"/>
              <w:rPr>
                <w:sz w:val="20"/>
                <w:szCs w:val="20"/>
                <w:color w:val="auto"/>
              </w:rPr>
            </w:pPr>
            <w:r>
              <w:rPr>
                <w:rFonts w:ascii="Arial" w:cs="Arial" w:eastAsia="Arial" w:hAnsi="Arial"/>
                <w:sz w:val="16"/>
                <w:szCs w:val="16"/>
                <w:color w:val="auto"/>
                <w:w w:val="99"/>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August 28, 2019</w:t>
            </w:r>
          </w:p>
        </w:tc>
        <w:tc>
          <w:tcPr>
            <w:tcW w:w="0" w:type="dxa"/>
            <w:vAlign w:val="bottom"/>
          </w:tcPr>
          <w:p>
            <w:pPr>
              <w:spacing w:after="0"/>
              <w:rPr>
                <w:sz w:val="1"/>
                <w:szCs w:val="1"/>
                <w:color w:val="auto"/>
              </w:rPr>
            </w:pPr>
          </w:p>
        </w:tc>
      </w:tr>
    </w:tbl>
    <w:p>
      <w:pPr>
        <w:sectPr>
          <w:pgSz w:w="11900" w:h="16838" w:orient="portrait"/>
          <w:cols w:equalWidth="0" w:num="2">
            <w:col w:w="2280" w:space="720"/>
            <w:col w:w="8420"/>
          </w:cols>
          <w:pgMar w:left="240" w:top="1008"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Form S-8</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28,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Nutanix,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1740 Technology Drive, Suite 150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95110</w:t>
      </w:r>
    </w:p>
    <w:p>
      <w:pPr>
        <w:spacing w:after="0" w:line="2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Registration Statement on Form S-8</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16" w:lineRule="exact"/>
        <w:rPr>
          <w:sz w:val="20"/>
          <w:szCs w:val="20"/>
          <w:color w:val="auto"/>
        </w:rPr>
      </w:pPr>
      <w:r>
        <w:rPr>
          <w:rFonts w:ascii="Arial" w:cs="Arial" w:eastAsia="Arial" w:hAnsi="Arial"/>
          <w:sz w:val="18"/>
          <w:szCs w:val="18"/>
          <w:color w:val="auto"/>
        </w:rPr>
        <w:t>We have examined the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(the “Registration Statement”) to be filed by Nutanix, Inc., a Delaware corporation (the “Company”), with the Securities and Exchange Commission on or about the date hereof, in connection with the registration under the Securities Act of 1933, as amended, of 9,429,765 shares of Class A Common Stock reserved for issuance pursuant to the Company’s 2016 Equity Incentive Plan and 1,885,953 shares of Class A Common Stock reserved for issuance pursuant to the Company’s 2016 Employee Stock Purchase Plan (which plans are referred to herein as the “Plans” and which shares of Class A Common stock are referred to herein as the “Shares”). As your legal counsel, we have reviewed the actions taken and are familiar with the actions proposed to be taken by you in connection with the issuance and sale of the Shares under the Plans and pursuant to the agreements related thereto.</w:t>
      </w:r>
    </w:p>
    <w:p>
      <w:pPr>
        <w:spacing w:after="0" w:line="21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It is our opinion that the Shares, when issued and sold in the manner referred to in the Plans and pursuant to the agreements which accompany the Plans, will be legally and validly issued, fully paid and nonassessable.</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WILSON SONSINI GOODRICH &amp; ROSATI</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Professional Corporation</w:t>
      </w: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Wilson Sonsini Goodrich &amp; Rosati, P.C.</w:t>
      </w:r>
    </w:p>
    <w:p>
      <w:pPr>
        <w:sectPr>
          <w:pgSz w:w="11900" w:h="16838" w:orient="portrait"/>
          <w:cols w:equalWidth="0" w:num="1">
            <w:col w:w="11420"/>
          </w:cols>
          <w:pgMar w:left="240" w:top="81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Form S-8</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9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September 21, 2018, relating to the consolidated financial statements and financial statement schedules of Nutanix, Inc. and its subsidiaries (the “Company”), and the effectiveness of the Company’s internal control over financial reporting, appearing in the Annual Report on Form 10-K of Nutanix, Inc. for the year ended July 31, 2018.</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28, 2019</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1" Type="http://schemas.openxmlformats.org/officeDocument/2006/relationships/image" Target="media/image1.png"/><Relationship Id="rId8" Type="http://schemas.openxmlformats.org/officeDocument/2006/relationships/hyperlink" Target="http://www.sec.gov/Archives/edgar/data/1618732/000119312516529509/d937439dex42.htm" TargetMode="External"/><Relationship Id="rId9" Type="http://schemas.openxmlformats.org/officeDocument/2006/relationships/hyperlink" Target="http://www.sec.gov/Archives/edgar/data/1618732/000119312516712715/d937439dex104.htm" TargetMode="External"/><Relationship Id="rId10" Type="http://schemas.openxmlformats.org/officeDocument/2006/relationships/hyperlink" Target="http://www.sec.gov/Archives/edgar/data/1618732/000119312516712715/d937439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2019-11-29T19:34:06Z</dcterms:created>
  <dcterms:modified xsi:type="dcterms:W3CDTF">2019-11-29T19:34:06Z</dcterms:modified>
</cp:coreProperties>
</file>