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Maner Tarkan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NUTANIX,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1740 TECHNOLOGY DR.,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Nutanix, Inc.</w:t>
              </w:r>
            </w:hyperlink>
            <w:r>
              <w:rPr/>
              <w:t xml:space="preserve"> [ </w:t>
            </w:r>
            <w:r>
              <w:rPr>
                <w:rFonts w:ascii="Times;serif" w:hAnsi="Times;serif"/>
                <w:color w:val="0000FF"/>
                <w:sz w:val="24"/>
                <w:shd w:fill="FFFFFF" w:val="clear"/>
              </w:rPr>
              <w:t>NTNX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59,857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62,505</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64,207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66,109</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3,965</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62,144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tax withholding obligations arising from the vesting of Reporting Person's Restricted Stock Units, or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16 equal quarterly installments, with the first of such quarterly installments having vested on December 15, 2022,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16 equal quarterly installments, with the first of such quarterly installments having vested on December 15, 2023,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16 equal quarterly installments, with the first of such quarterly installments having vested on December 15, 2024, subject to the Reporting Person continuing to provide service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16 equal quarterly installments, with the first of such quarterly installments having vested on December 15, 2025, subject to the Reporting Person continuing to provide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Raymond Hum,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184" TargetMode="External"/><Relationship Id="rId5" Type="http://schemas.openxmlformats.org/officeDocument/2006/relationships/hyperlink" Target="http://www.sec.gov/cgi-bin/browse-edgar?action=getcompany&amp;CIK=00016187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4558</Characters>
  <CharactersWithSpaces>5302</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