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nx-20260924.htm"/>
      <w:bookmarkStart w:id="1" w:name="ksntnx20260924"/>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br/>
        <w:t>SECURITIES AND EXCHANGE COMMISSION</w:t>
      </w:r>
    </w:p>
    <w:p>
      <w:pPr>
        <w:pStyle w:val="TextBody"/>
        <w:bidi w:val="0"/>
        <w:spacing w:before="40" w:after="40"/>
        <w:jc w:val="center"/>
        <w:rPr>
          <w:rFonts w:ascii="Arial" w:hAnsi="Arial"/>
          <w:b/>
          <w:color w:val="000000"/>
          <w:sz w:val="20"/>
        </w:rPr>
      </w:pPr>
      <w:r>
        <w:rPr>
          <w:rFonts w:ascii="Arial" w:hAnsi="Arial"/>
          <w:b/>
          <w:color w:val="000000"/>
          <w:sz w:val="20"/>
        </w:rPr>
        <w:t>Washington, D.C. 20549</w:t>
      </w:r>
    </w:p>
    <w:p>
      <w:pPr>
        <w:pStyle w:val="TextBody"/>
        <w:bidi w:val="0"/>
        <w:spacing w:before="0" w:after="40"/>
        <w:jc w:val="center"/>
        <w:rPr/>
      </w:pPr>
      <w:r>
        <w:rPr/>
        <w:t> </w:t>
      </w:r>
    </w:p>
    <w:p>
      <w:pPr>
        <w:pStyle w:val="TextBody"/>
        <w:bidi w:val="0"/>
        <w:spacing w:before="0" w:after="40"/>
        <w:jc w:val="center"/>
        <w:rPr>
          <w:rFonts w:ascii="Arial" w:hAnsi="Arial"/>
          <w:b/>
          <w:color w:val="000000"/>
          <w:sz w:val="32"/>
        </w:rPr>
      </w:pPr>
      <w:r>
        <w:rPr>
          <w:rFonts w:ascii="Arial" w:hAnsi="Arial"/>
          <w:b/>
          <w:color w:val="000000"/>
          <w:sz w:val="32"/>
        </w:rPr>
        <w:t>FORM 8-K</w:t>
      </w:r>
    </w:p>
    <w:p>
      <w:pPr>
        <w:pStyle w:val="TextBody"/>
        <w:bidi w:val="0"/>
        <w:spacing w:before="0" w:after="40"/>
        <w:jc w:val="center"/>
        <w:rPr/>
      </w:pPr>
      <w:r>
        <w:rPr/>
        <w:t> </w:t>
      </w:r>
    </w:p>
    <w:p>
      <w:pPr>
        <w:pStyle w:val="TextBody"/>
        <w:bidi w:val="0"/>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 of</w:t>
      </w:r>
    </w:p>
    <w:p>
      <w:pPr>
        <w:pStyle w:val="TextBody"/>
        <w:bidi w:val="0"/>
        <w:jc w:val="center"/>
        <w:rPr>
          <w:rFonts w:ascii="Arial" w:hAnsi="Arial"/>
          <w:b/>
          <w:color w:val="000000"/>
          <w:sz w:val="24"/>
        </w:rPr>
      </w:pPr>
      <w:r>
        <w:rPr>
          <w:rFonts w:ascii="Arial" w:hAnsi="Arial"/>
          <w:b/>
          <w:color w:val="000000"/>
          <w:sz w:val="24"/>
        </w:rPr>
        <w:t>The Securities Exchange Act of 1934</w:t>
      </w:r>
    </w:p>
    <w:p>
      <w:pPr>
        <w:pStyle w:val="TextBody"/>
        <w:bidi w:val="0"/>
        <w:jc w:val="center"/>
        <w:rPr/>
      </w:pPr>
      <w:r>
        <w:rPr/>
        <w:t> </w:t>
      </w:r>
    </w:p>
    <w:p>
      <w:pPr>
        <w:pStyle w:val="TextBody"/>
        <w:bidi w:val="0"/>
        <w:spacing w:before="40" w:after="40"/>
        <w:jc w:val="center"/>
        <w:rPr>
          <w:rFonts w:ascii="Arial" w:hAnsi="Arial"/>
          <w:color w:val="000000"/>
          <w:sz w:val="20"/>
        </w:rPr>
      </w:pPr>
      <w:r>
        <w:rPr>
          <w:rFonts w:ascii="Arial" w:hAnsi="Arial"/>
          <w:color w:val="000000"/>
          <w:sz w:val="20"/>
        </w:rPr>
        <w:t>Date of Report (Date of earliest event reported)</w:t>
      </w:r>
    </w:p>
    <w:p>
      <w:pPr>
        <w:pStyle w:val="TextBody"/>
        <w:bidi w:val="0"/>
        <w:spacing w:before="0" w:after="40"/>
        <w:jc w:val="center"/>
        <w:rPr>
          <w:rFonts w:ascii="Arial" w:hAnsi="Arial"/>
          <w:b/>
          <w:color w:val="1A1A1A"/>
          <w:sz w:val="20"/>
        </w:rPr>
      </w:pPr>
      <w:r>
        <w:rPr>
          <w:rFonts w:ascii="Arial" w:hAnsi="Arial"/>
          <w:b/>
          <w:color w:val="1A1A1A"/>
          <w:sz w:val="20"/>
        </w:rPr>
        <w:t>September 24, 2026</w:t>
      </w:r>
    </w:p>
    <w:p>
      <w:pPr>
        <w:pStyle w:val="TextBody"/>
        <w:bidi w:val="0"/>
        <w:spacing w:before="0" w:after="40"/>
        <w:jc w:val="center"/>
        <w:rPr/>
      </w:pPr>
      <w:r>
        <w:rPr/>
        <w:t> </w:t>
      </w:r>
    </w:p>
    <w:p>
      <w:pPr>
        <w:pStyle w:val="TextBody"/>
        <w:bidi w:val="0"/>
        <w:spacing w:before="0" w:after="40"/>
        <w:jc w:val="center"/>
        <w:rPr>
          <w:rFonts w:ascii="Arial" w:hAnsi="Arial"/>
          <w:b/>
          <w:color w:val="000000"/>
          <w:sz w:val="32"/>
        </w:rPr>
      </w:pPr>
      <w:r>
        <w:rPr>
          <w:rFonts w:ascii="Arial" w:hAnsi="Arial"/>
          <w:b/>
          <w:color w:val="000000"/>
          <w:sz w:val="32"/>
        </w:rPr>
        <w:t>NUTANIX, INC.</w:t>
      </w:r>
    </w:p>
    <w:p>
      <w:pPr>
        <w:pStyle w:val="TextBody"/>
        <w:bidi w:val="0"/>
        <w:spacing w:before="0" w:after="40"/>
        <w:jc w:val="center"/>
        <w:rPr>
          <w:rFonts w:ascii="Arial" w:hAnsi="Arial"/>
          <w:color w:val="000000"/>
          <w:sz w:val="20"/>
        </w:rPr>
      </w:pPr>
      <w:r>
        <w:rPr>
          <w:rFonts w:ascii="Arial" w:hAnsi="Arial"/>
          <w:color w:val="000000"/>
          <w:sz w:val="20"/>
        </w:rPr>
        <w:t>(Exact name of registrant as specified in its charter)</w:t>
      </w:r>
    </w:p>
    <w:tbl>
      <w:tblPr>
        <w:tblW w:w="6678" w:type="dxa"/>
        <w:jc w:val="left"/>
        <w:tblInd w:w="0" w:type="dxa"/>
        <w:tblLayout w:type="fixed"/>
        <w:tblCellMar>
          <w:top w:w="28" w:type="dxa"/>
          <w:left w:w="28" w:type="dxa"/>
          <w:bottom w:w="28" w:type="dxa"/>
          <w:right w:w="28" w:type="dxa"/>
        </w:tblCellMar>
      </w:tblPr>
      <w:tblGrid>
        <w:gridCol w:w="2581"/>
        <w:gridCol w:w="2416"/>
        <w:gridCol w:w="1681"/>
      </w:tblGrid>
      <w:tr>
        <w:trPr/>
        <w:tc>
          <w:tcPr>
            <w:tcW w:w="258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Delaware</w:t>
            </w:r>
          </w:p>
        </w:tc>
        <w:tc>
          <w:tcPr>
            <w:tcW w:w="241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001-37883</w:t>
            </w:r>
          </w:p>
        </w:tc>
        <w:tc>
          <w:tcPr>
            <w:tcW w:w="168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20"/>
                <w:u w:val="single"/>
              </w:rPr>
            </w:pPr>
            <w:r>
              <w:rPr>
                <w:rFonts w:ascii="Arial" w:hAnsi="Arial"/>
                <w:b/>
                <w:color w:val="000000"/>
                <w:sz w:val="20"/>
                <w:u w:val="single"/>
              </w:rPr>
              <w:t>27-0989767</w:t>
            </w:r>
          </w:p>
        </w:tc>
      </w:tr>
      <w:tr>
        <w:trPr/>
        <w:tc>
          <w:tcPr>
            <w:tcW w:w="258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(State or other jurisdiction of</w:t>
              <w:br/>
              <w:t>incorporation)</w:t>
            </w:r>
          </w:p>
        </w:tc>
        <w:tc>
          <w:tcPr>
            <w:tcW w:w="24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(Commission File Number)</w:t>
            </w:r>
          </w:p>
        </w:tc>
        <w:tc>
          <w:tcPr>
            <w:tcW w:w="168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20"/>
              </w:rPr>
            </w:pPr>
            <w:r>
              <w:rPr>
                <w:rFonts w:ascii="Arial" w:hAnsi="Arial"/>
                <w:color w:val="000000"/>
                <w:sz w:val="20"/>
              </w:rPr>
              <w:t>(IRS Employer</w:t>
              <w:br/>
              <w:t>Identification No.)</w:t>
            </w:r>
          </w:p>
        </w:tc>
      </w:tr>
    </w:tbl>
    <w:p>
      <w:pPr>
        <w:pStyle w:val="TextBody"/>
        <w:bidi w:val="0"/>
        <w:spacing w:before="4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1740 Technology Drive, Suite 150</w:t>
      </w:r>
    </w:p>
    <w:p>
      <w:pPr>
        <w:pStyle w:val="TextBody"/>
        <w:bidi w:val="0"/>
        <w:spacing w:before="0" w:after="40"/>
        <w:jc w:val="center"/>
        <w:rPr>
          <w:rFonts w:ascii="Arial" w:hAnsi="Arial"/>
          <w:sz w:val="20"/>
        </w:rPr>
      </w:pPr>
      <w:r>
        <w:rPr>
          <w:rFonts w:ascii="Arial" w:hAnsi="Arial"/>
          <w:b/>
          <w:color w:val="000000"/>
          <w:sz w:val="20"/>
        </w:rPr>
        <w:t>San Jose, California</w:t>
      </w:r>
      <w:r>
        <w:rPr>
          <w:rFonts w:ascii="Arial" w:hAnsi="Arial"/>
          <w:color w:val="000000"/>
          <w:sz w:val="20"/>
        </w:rPr>
        <w:t xml:space="preserve"> </w:t>
      </w:r>
      <w:r>
        <w:rPr>
          <w:rFonts w:ascii="Arial" w:hAnsi="Arial"/>
          <w:b/>
          <w:color w:val="000000"/>
          <w:sz w:val="20"/>
        </w:rPr>
        <w:t xml:space="preserve">95110 </w:t>
      </w:r>
    </w:p>
    <w:p>
      <w:pPr>
        <w:pStyle w:val="TextBody"/>
        <w:bidi w:val="0"/>
        <w:spacing w:before="0" w:after="40"/>
        <w:jc w:val="center"/>
        <w:rPr>
          <w:rFonts w:ascii="Arial" w:hAnsi="Arial"/>
          <w:color w:val="000000"/>
          <w:sz w:val="20"/>
        </w:rPr>
      </w:pPr>
      <w:r>
        <w:rPr>
          <w:rFonts w:ascii="Arial" w:hAnsi="Arial"/>
          <w:color w:val="000000"/>
          <w:sz w:val="20"/>
        </w:rPr>
        <w:t>(Address of principal executive offices, including zip code)</w:t>
      </w:r>
    </w:p>
    <w:p>
      <w:pPr>
        <w:pStyle w:val="TextBody"/>
        <w:bidi w:val="0"/>
        <w:spacing w:before="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(408) 400-3125</w:t>
      </w:r>
    </w:p>
    <w:p>
      <w:pPr>
        <w:pStyle w:val="TextBody"/>
        <w:bidi w:val="0"/>
        <w:spacing w:before="0" w:after="40"/>
        <w:jc w:val="center"/>
        <w:rPr>
          <w:rFonts w:ascii="Arial" w:hAnsi="Arial"/>
          <w:color w:val="000000"/>
          <w:sz w:val="20"/>
        </w:rPr>
      </w:pPr>
      <w:r>
        <w:rPr>
          <w:rFonts w:ascii="Arial" w:hAnsi="Arial"/>
          <w:color w:val="000000"/>
          <w:sz w:val="20"/>
        </w:rPr>
        <w:t>(Registrant’s telephone number, including area code)</w:t>
      </w:r>
    </w:p>
    <w:p>
      <w:pPr>
        <w:pStyle w:val="TextBody"/>
        <w:bidi w:val="0"/>
        <w:spacing w:before="0" w:after="40"/>
        <w:jc w:val="center"/>
        <w:rPr/>
      </w:pPr>
      <w:r>
        <w:rPr/>
        <w:t> </w:t>
      </w:r>
    </w:p>
    <w:p>
      <w:pPr>
        <w:pStyle w:val="TextBody"/>
        <w:bidi w:val="0"/>
        <w:spacing w:before="0" w:after="40"/>
        <w:jc w:val="center"/>
        <w:rPr>
          <w:rFonts w:ascii="Arial" w:hAnsi="Arial"/>
          <w:b/>
          <w:color w:val="000000"/>
          <w:sz w:val="20"/>
        </w:rPr>
      </w:pPr>
      <w:r>
        <w:rPr>
          <w:rFonts w:ascii="Arial" w:hAnsi="Arial"/>
          <w:b/>
          <w:color w:val="000000"/>
          <w:sz w:val="20"/>
        </w:rPr>
        <w:t>Not Applicable</w:t>
      </w:r>
    </w:p>
    <w:p>
      <w:pPr>
        <w:pStyle w:val="TextBody"/>
        <w:bidi w:val="0"/>
        <w:spacing w:before="0" w:after="40"/>
        <w:jc w:val="center"/>
        <w:rPr>
          <w:rFonts w:ascii="Arial" w:hAnsi="Arial"/>
          <w:color w:val="000000"/>
          <w:sz w:val="20"/>
        </w:rPr>
      </w:pPr>
      <w:r>
        <w:rPr>
          <w:rFonts w:ascii="Arial" w:hAnsi="Arial"/>
          <w:color w:val="000000"/>
          <w:sz w:val="20"/>
        </w:rPr>
        <w:t>(Former name or former address, if changed since last report)</w:t>
      </w:r>
    </w:p>
    <w:p>
      <w:pPr>
        <w:pStyle w:val="TextBody"/>
        <w:bidi w:val="0"/>
        <w:spacing w:before="0" w:after="40"/>
        <w:jc w:val="center"/>
        <w:rPr/>
      </w:pPr>
      <w:r>
        <w:rPr/>
        <w:t> </w:t>
      </w:r>
    </w:p>
    <w:p>
      <w:pPr>
        <w:pStyle w:val="TextBody"/>
        <w:bidi w:val="0"/>
        <w:spacing w:before="0" w:after="160"/>
        <w:jc w:val="left"/>
        <w:rPr>
          <w:rFonts w:ascii="Arial" w:hAnsi="Arial"/>
          <w:color w:val="000000"/>
          <w:sz w:val="18"/>
        </w:rPr>
      </w:pPr>
      <w:r>
        <w:rPr>
          <w:rFonts w:ascii="Arial" w:hAnsi="Arial"/>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40"/>
        <w:jc w:val="left"/>
        <w:rPr/>
      </w:pPr>
      <w:r>
        <w:rPr>
          <w:color w:val="000000"/>
        </w:rPr>
        <w:t xml:space="preserve">☐ </w:t>
      </w:r>
      <w:r>
        <w:rPr>
          <w:rFonts w:ascii="Arial" w:hAnsi="Arial"/>
          <w:color w:val="000000"/>
          <w:sz w:val="18"/>
        </w:rPr>
        <w:t>Written communications pursuant to Rule 425 under the Securities Act (17 CFR 230.425)</w:t>
      </w:r>
      <w:r>
        <w:rPr>
          <w:rFonts w:ascii="Times New Roman" w:hAnsi="Times New Roman"/>
          <w:color w:val="000000"/>
          <w:sz w:val="18"/>
        </w:rPr>
        <w:t xml:space="preserve"> </w:t>
      </w:r>
    </w:p>
    <w:p>
      <w:pPr>
        <w:pStyle w:val="TextBody"/>
        <w:bidi w:val="0"/>
        <w:spacing w:before="0" w:after="40"/>
        <w:jc w:val="left"/>
        <w:rPr/>
      </w:pPr>
      <w:r>
        <w:rPr>
          <w:color w:val="000000"/>
        </w:rPr>
        <w:t xml:space="preserve">☐ </w:t>
      </w:r>
      <w:r>
        <w:rPr>
          <w:rFonts w:ascii="Arial" w:hAnsi="Arial"/>
          <w:color w:val="000000"/>
          <w:sz w:val="18"/>
        </w:rPr>
        <w:t>Soliciting material pursuant to Rule 14a-12 under the Exchange Act (17 CFR 240.14a-12)</w:t>
      </w:r>
      <w:r>
        <w:rPr>
          <w:rFonts w:ascii="Times New Roman" w:hAnsi="Times New Roman"/>
          <w:color w:val="000000"/>
          <w:sz w:val="18"/>
        </w:rPr>
        <w:t xml:space="preserve"> </w:t>
      </w:r>
    </w:p>
    <w:p>
      <w:pPr>
        <w:pStyle w:val="TextBody"/>
        <w:bidi w:val="0"/>
        <w:spacing w:before="0" w:after="40"/>
        <w:jc w:val="left"/>
        <w:rPr/>
      </w:pPr>
      <w:r>
        <w:rPr>
          <w:color w:val="000000"/>
        </w:rPr>
        <w:t xml:space="preserve">☐ </w:t>
      </w:r>
      <w:r>
        <w:rPr>
          <w:rFonts w:ascii="Arial" w:hAnsi="Arial"/>
          <w:color w:val="000000"/>
          <w:sz w:val="18"/>
        </w:rPr>
        <w:t>Pre-commencement communications pursuant to Rule 14d-2(b) under the Exchange Act (17 CFR 240.14d-2(b))</w:t>
      </w:r>
      <w:r>
        <w:rPr>
          <w:rFonts w:ascii="Times New Roman" w:hAnsi="Times New Roman"/>
          <w:color w:val="000000"/>
          <w:sz w:val="18"/>
        </w:rPr>
        <w:t xml:space="preserve"> </w:t>
      </w:r>
    </w:p>
    <w:p>
      <w:pPr>
        <w:pStyle w:val="TextBody"/>
        <w:bidi w:val="0"/>
        <w:spacing w:before="0" w:after="160"/>
        <w:jc w:val="left"/>
        <w:rPr/>
      </w:pPr>
      <w:r>
        <w:rPr>
          <w:color w:val="000000"/>
        </w:rPr>
        <w:t xml:space="preserve">☐ </w:t>
      </w:r>
      <w:r>
        <w:rPr>
          <w:rFonts w:ascii="Arial" w:hAnsi="Arial"/>
          <w:color w:val="000000"/>
          <w:sz w:val="18"/>
        </w:rPr>
        <w:t>Pre-commencement communications pursuant to Rule 13e-4(c) under the Exchange Act (17 CFR 240.13e-4(c))</w:t>
      </w:r>
      <w:r>
        <w:rPr>
          <w:rFonts w:ascii="Times New Roman" w:hAnsi="Times New Roman"/>
          <w:color w:val="000000"/>
          <w:sz w:val="18"/>
        </w:rPr>
        <w:t xml:space="preserve"> </w:t>
      </w:r>
    </w:p>
    <w:p>
      <w:pPr>
        <w:pStyle w:val="TextBody"/>
        <w:bidi w:val="0"/>
        <w:spacing w:before="0" w:after="40"/>
        <w:jc w:val="center"/>
        <w:rPr>
          <w:rFonts w:ascii="Arial" w:hAnsi="Arial"/>
          <w:sz w:val="18"/>
        </w:rPr>
      </w:pPr>
      <w:r>
        <w:rPr>
          <w:rFonts w:ascii="Arial" w:hAnsi="Arial"/>
          <w:b/>
          <w:color w:val="000000"/>
          <w:sz w:val="18"/>
        </w:rPr>
        <w:t>Securities registered pursuant to Section 12(b) of the Act:</w:t>
      </w:r>
      <w:r>
        <w:rPr>
          <w:rFonts w:ascii="Arial" w:hAnsi="Arial"/>
          <w:color w:val="000000"/>
          <w:sz w:val="18"/>
        </w:rPr>
        <w:t xml:space="preserve"> </w:t>
      </w:r>
    </w:p>
    <w:tbl>
      <w:tblPr>
        <w:tblW w:w="10205" w:type="dxa"/>
        <w:jc w:val="left"/>
        <w:tblInd w:w="0" w:type="dxa"/>
        <w:tblLayout w:type="fixed"/>
        <w:tblCellMar>
          <w:top w:w="28" w:type="dxa"/>
          <w:left w:w="28" w:type="dxa"/>
          <w:bottom w:w="28" w:type="dxa"/>
          <w:right w:w="28" w:type="dxa"/>
        </w:tblCellMar>
      </w:tblPr>
      <w:tblGrid>
        <w:gridCol w:w="4504"/>
        <w:gridCol w:w="146"/>
        <w:gridCol w:w="1608"/>
        <w:gridCol w:w="146"/>
        <w:gridCol w:w="3801"/>
      </w:tblGrid>
      <w:tr>
        <w:trPr/>
        <w:tc>
          <w:tcPr>
            <w:tcW w:w="4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4504"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608"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Trading symbol(s)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01"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rPr>
            </w:pPr>
            <w:r>
              <w:rPr>
                <w:rFonts w:ascii="Arial" w:hAnsi="Arial"/>
                <w:b/>
                <w:color w:val="000000"/>
                <w:sz w:val="18"/>
              </w:rPr>
              <w:t>Name of each exchange on which registered</w:t>
            </w:r>
          </w:p>
        </w:tc>
      </w:tr>
      <w:tr>
        <w:trPr/>
        <w:tc>
          <w:tcPr>
            <w:tcW w:w="4504"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 xml:space="preserve">Class A Common Stock, $0.000025 par value per share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60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 xml:space="preserve">NTNX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0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The Nasdaq Global Select Market</w:t>
            </w:r>
          </w:p>
        </w:tc>
      </w:tr>
    </w:tbl>
    <w:p>
      <w:pPr>
        <w:pStyle w:val="TextBody"/>
        <w:bidi w:val="0"/>
        <w:spacing w:before="240" w:after="40"/>
        <w:jc w:val="left"/>
        <w:rPr>
          <w:rFonts w:ascii="Arial" w:hAnsi="Arial"/>
          <w:color w:val="000000"/>
          <w:sz w:val="18"/>
        </w:rPr>
      </w:pPr>
      <w:r>
        <w:rPr>
          <w:rFonts w:ascii="Arial" w:hAnsi="Arial"/>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40"/>
        <w:jc w:val="left"/>
        <w:rPr>
          <w:rFonts w:ascii="Times New Roman" w:hAnsi="Times New Roman"/>
          <w:sz w:val="18"/>
        </w:rPr>
      </w:pPr>
      <w:r>
        <w:rPr>
          <w:rFonts w:ascii="Arial" w:hAnsi="Arial"/>
          <w:color w:val="000000"/>
          <w:sz w:val="18"/>
        </w:rPr>
        <w:t xml:space="preserve">Emerging growth company </w:t>
      </w:r>
      <w:r>
        <w:rPr>
          <w:rFonts w:ascii="Times New Roman" w:hAnsi="Times New Roman"/>
          <w:color w:val="000000"/>
          <w:sz w:val="18"/>
        </w:rPr>
        <w:t>☐</w:t>
      </w:r>
    </w:p>
    <w:p>
      <w:pPr>
        <w:pStyle w:val="TextBody"/>
        <w:bidi w:val="0"/>
        <w:spacing w:before="0" w:after="40"/>
        <w:jc w:val="left"/>
        <w:rPr/>
      </w:pPr>
      <w:r>
        <w:rPr/>
        <w:t> </w:t>
      </w:r>
    </w:p>
    <w:p>
      <w:pPr>
        <w:pStyle w:val="TextBody"/>
        <w:bidi w:val="0"/>
        <w:spacing w:before="0" w:after="40"/>
        <w:jc w:val="left"/>
        <w:rPr>
          <w:rFonts w:ascii="Times New Roman" w:hAnsi="Times New Roman"/>
          <w:sz w:val="18"/>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18"/>
        </w:rPr>
        <w:t>☐</w:t>
      </w:r>
    </w:p>
    <w:p>
      <w:pPr>
        <w:pStyle w:val="TextBody"/>
        <w:bidi w:val="0"/>
        <w:spacing w:before="0" w:after="4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rFonts w:ascii="Arial" w:hAnsi="Arial"/>
          <w:sz w:val="20"/>
        </w:rPr>
      </w:pPr>
      <w:r>
        <w:rPr>
          <w:rFonts w:ascii="Arial" w:hAnsi="Arial"/>
          <w:b/>
          <w:color w:val="000000"/>
          <w:sz w:val="20"/>
        </w:rPr>
        <w:t>Item 5.02. Departure of Directors or Certain Officers; Election of Directors; Appointment of Certain Officers; Compensatory Arrangements of Certain Officers.</w:t>
      </w:r>
      <w:r>
        <w:rPr>
          <w:rFonts w:ascii="Arial" w:hAnsi="Arial"/>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On September 24, 2026, Nutanix, Inc. (the “Company”) announced that Tarkan Maner has decided to step down as President and Chief Commercial Officer, effective October 2, 2026. The Company thanks Mr. Maner for his many years of service and leadership. Following his departure from his executive position, Mr. Maner intends to devote more time to his external board, industry leadership, and advisory activities. Oversight of the Company's sales, marketing and customer experience organizations will transition to Chief Executive Officer Rajiv Ramaswami. The Company and Mr. Maner are discussing a potential senior advisor transition arrangement under which he would provide transition and strategic advisory services to the Company.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Arial" w:hAnsi="Arial"/>
          <w:b/>
          <w:color w:val="000000"/>
          <w:sz w:val="20"/>
        </w:rPr>
      </w:pPr>
      <w:r>
        <w:rPr>
          <w:rFonts w:ascii="Arial" w:hAnsi="Arial"/>
          <w:b/>
          <w:color w:val="000000"/>
          <w:sz w:val="20"/>
        </w:rPr>
        <w:t>SIGNATURES</w:t>
      </w:r>
    </w:p>
    <w:p>
      <w:pPr>
        <w:pStyle w:val="TextBody"/>
        <w:bidi w:val="0"/>
        <w:spacing w:before="0" w:after="16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4578" w:type="dxa"/>
        <w:jc w:val="left"/>
        <w:tblInd w:w="0" w:type="dxa"/>
        <w:tblLayout w:type="fixed"/>
        <w:tblCellMar>
          <w:top w:w="28" w:type="dxa"/>
          <w:left w:w="28" w:type="dxa"/>
          <w:bottom w:w="28" w:type="dxa"/>
          <w:right w:w="28" w:type="dxa"/>
        </w:tblCellMar>
      </w:tblPr>
      <w:tblGrid>
        <w:gridCol w:w="2401"/>
        <w:gridCol w:w="406"/>
        <w:gridCol w:w="1771"/>
      </w:tblGrid>
      <w:tr>
        <w:trPr/>
        <w:tc>
          <w:tcPr>
            <w:tcW w:w="2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53" w:after="30"/>
              <w:jc w:val="left"/>
              <w:rPr>
                <w:rFonts w:ascii="Arial" w:hAnsi="Arial"/>
                <w:b/>
                <w:color w:val="000000"/>
                <w:sz w:val="20"/>
              </w:rPr>
            </w:pPr>
            <w:r>
              <w:rPr>
                <w:rFonts w:ascii="Arial" w:hAnsi="Arial"/>
                <w:b/>
                <w:color w:val="000000"/>
                <w:sz w:val="20"/>
              </w:rPr>
              <w:t>NUTANIX, INC.</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Date: September 24, 2026</w:t>
            </w:r>
          </w:p>
        </w:tc>
        <w:tc>
          <w:tcPr>
            <w:tcW w:w="406"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By:</w:t>
            </w:r>
          </w:p>
        </w:tc>
        <w:tc>
          <w:tcPr>
            <w:tcW w:w="1771" w:type="dxa"/>
            <w:tcBorders/>
            <w:tcMar>
              <w:top w:w="0" w:type="dxa"/>
              <w:left w:w="0" w:type="dxa"/>
              <w:bottom w:w="0" w:type="dxa"/>
              <w:right w:w="0" w:type="dxa"/>
            </w:tcMar>
            <w:vAlign w:val="center"/>
          </w:tcPr>
          <w:p>
            <w:pPr>
              <w:pStyle w:val="TableContents"/>
              <w:bidi w:val="0"/>
              <w:spacing w:before="53" w:after="30"/>
              <w:jc w:val="left"/>
              <w:rPr>
                <w:rFonts w:ascii="Arial" w:hAnsi="Arial"/>
                <w:i/>
                <w:color w:val="000000"/>
                <w:sz w:val="20"/>
                <w:u w:val="single"/>
              </w:rPr>
            </w:pPr>
            <w:r>
              <w:rPr>
                <w:rFonts w:ascii="Arial" w:hAnsi="Arial"/>
                <w:i/>
                <w:color w:val="000000"/>
                <w:sz w:val="20"/>
                <w:u w:val="single"/>
              </w:rPr>
              <w:t>/s/ Brian Martin</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Brian Martin</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30"/>
              <w:jc w:val="left"/>
              <w:rPr>
                <w:rFonts w:ascii="Arial" w:hAnsi="Arial"/>
                <w:color w:val="000000"/>
                <w:sz w:val="20"/>
              </w:rPr>
            </w:pPr>
            <w:r>
              <w:rPr>
                <w:rFonts w:ascii="Arial" w:hAnsi="Arial"/>
                <w:color w:val="000000"/>
                <w:sz w:val="20"/>
              </w:rPr>
              <w:t>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485</Words>
  <Characters>2742</Characters>
  <CharactersWithSpaces>3215</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