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RAMASWAMI RAJIV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NUTANIX,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1740 TECHNOLOGY DR.,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Nutanix,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NTNX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7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96"/>
              </w:rPr>
              <w:t>146,160</w:t>
            </w:r>
            <w:r>
              <w:rPr>
                <w:rFonts w:ascii="Times New Roman" w:cs="Times New Roman" w:eastAsia="Times New Roman" w:hAnsi="Times New Roman"/>
                <w:sz w:val="22"/>
                <w:szCs w:val="22"/>
                <w:color w:val="008000"/>
                <w:w w:val="96"/>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664,721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7"/>
              </w:rPr>
              <w:t>84,717</w:t>
            </w:r>
            <w:r>
              <w:rPr>
                <w:rFonts w:ascii="Times New Roman" w:cs="Times New Roman" w:eastAsia="Times New Roman" w:hAnsi="Times New Roman"/>
                <w:sz w:val="22"/>
                <w:szCs w:val="22"/>
                <w:color w:val="008000"/>
                <w:w w:val="97"/>
                <w:vertAlign w:val="superscript"/>
              </w:rPr>
              <w:t>(2)</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749,438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7"/>
              </w:rPr>
              <w:t>45,372</w:t>
            </w:r>
            <w:r>
              <w:rPr>
                <w:rFonts w:ascii="Times New Roman" w:cs="Times New Roman" w:eastAsia="Times New Roman" w:hAnsi="Times New Roman"/>
                <w:sz w:val="22"/>
                <w:szCs w:val="22"/>
                <w:color w:val="008000"/>
                <w:w w:val="97"/>
                <w:vertAlign w:val="superscript"/>
              </w:rPr>
              <w:t>(3)</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794,810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25, 2022, the Reporting Person was granted performance-based restricted stock units ("FY 2023 PRSUs"). The FY 2023 PRSUs are eligible to vest in up to three installments based on the total shareholder return of the Issuer over one-, two- and three-year performance periods, each commencing on August 1, 2022, relative to the total shareholder return of companies in the NASDAQ Composite Index. On August 25, 2025, the Compensation Committee of the Issuer's Board of Directors determined that the achievement percentage for the third performance period was 200%, but, under the terms of the FY 2023 PRSUs, the achievement percentage is capped at 119.7574%, resulting in these shares becoming eligible to vest on September 15, 2025, subject to the Reporting Person continuing to provide service to the Issuer through the vesting date.</w:t>
      </w:r>
    </w:p>
    <w:p>
      <w:pPr>
        <w:spacing w:after="0" w:line="26" w:lineRule="exact"/>
        <w:rPr>
          <w:rFonts w:ascii="Times New Roman" w:cs="Times New Roman" w:eastAsia="Times New Roman" w:hAnsi="Times New Roman"/>
          <w:sz w:val="13"/>
          <w:szCs w:val="13"/>
          <w:color w:val="008000"/>
        </w:rPr>
      </w:pPr>
    </w:p>
    <w:p>
      <w:pPr>
        <w:ind w:left="40" w:right="3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29, 2023, the Reporting Person was granted performance-based restricted stock units ("FY 2024 PRSUs"). The FY 2024 PRSUs are eligible to vest in up to three installments based on the total shareholder return of the Issuer over one-, two- and three-year performance periods, each commencing on August 1, 2023, relative to the total shareholder return of companies in the NASDAQ Composite Index. On August 25, 2025, the Compensation Committee of the Issuer's Board of Directors determined that the achievement percentage for the second performance period was 200% but, under the terms of the FY 2024 PRSUs, the achievement percentage is capped at 100%, resulting in these shares becoming eligible to vest on September 15, 2025, subject to the Reporting Person continuing to provide service to the Issuer through the vesting date.</w:t>
      </w:r>
    </w:p>
    <w:p>
      <w:pPr>
        <w:spacing w:after="0" w:line="26" w:lineRule="exact"/>
        <w:rPr>
          <w:rFonts w:ascii="Times New Roman" w:cs="Times New Roman" w:eastAsia="Times New Roman" w:hAnsi="Times New Roman"/>
          <w:sz w:val="13"/>
          <w:szCs w:val="13"/>
          <w:color w:val="008000"/>
        </w:rPr>
      </w:pPr>
    </w:p>
    <w:p>
      <w:pPr>
        <w:jc w:val="both"/>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10, 2024, the Reporting Person was granted performance-based restricted stock units ("FY 2025 PRSUs"). The FY 2025 PRSUs are eligible to vest in up to three installments based on the total shareholder return of the Issuer over one-, two- and three-year performance periods, each commencing on August 1, 2024, relative to the total shareholder return of companies in the NASDAQ Composite Index. On August 25, 2025, the Compensation Committee of the Issuer's Board of Directors determined that the achievement percentage for the first performance period was 200% but, under the terms of the FY 2025 PRSUs, the achievement percentage is capped at 100%, resulting in these shares becoming eligible to vest on September 15, 2025, subject to the Reporting Person continuing to provide service to the Issuer through the vesting date.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Raymond Hum,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08/26/2025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3009" TargetMode="External"/><Relationship Id="rId14" Type="http://schemas.openxmlformats.org/officeDocument/2006/relationships/hyperlink" Target="http://www.sec.gov/cgi-bin/browse-edgar?action=getcompany&amp;CIK=0001618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2025-08-26T17:12:45Z</dcterms:created>
  <dcterms:modified xsi:type="dcterms:W3CDTF">2025-08-26T17:12:45Z</dcterms:modified>
</cp:coreProperties>
</file>