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Maner Tarkan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NUTANIX,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1740 TECHNOLOGY DR., SUITE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Nutanix,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NTNX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CCO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8"/>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220" w:type="dxa"/>
            <w:vAlign w:val="bottom"/>
          </w:tcPr>
          <w:p>
            <w:pPr>
              <w:spacing w:after="0"/>
              <w:rPr>
                <w:sz w:val="15"/>
                <w:szCs w:val="15"/>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2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05/29/2026</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18,653</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52.2429</w:t>
            </w:r>
            <w:r>
              <w:rPr>
                <w:rFonts w:ascii="Times New Roman" w:cs="Times New Roman" w:eastAsia="Times New Roman" w:hAnsi="Times New Roman"/>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w w:val="93"/>
              </w:rPr>
              <w:t>85,671</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2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30,606</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55.2928</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55,065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$52.21 to $52.335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331 shares of Class A Common Stock acquired under the Nutanix, Inc. Employee Stock Purchase Plan on March 20, 2026.</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$55.26 to $55.39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Raymond Hum,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6184" TargetMode="External"/><Relationship Id="rId14" Type="http://schemas.openxmlformats.org/officeDocument/2006/relationships/hyperlink" Target="http://www.sec.gov/cgi-bin/browse-edgar?action=getcompany&amp;CIK=00016187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2026-06-02T16:36:39Z</dcterms:created>
  <dcterms:modified xsi:type="dcterms:W3CDTF">2026-06-02T16:36:39Z</dcterms:modified>
</cp:coreProperties>
</file>