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5.jpeg" ContentType="image/jpeg"/>
  <Override PartName="/word/media/image21.gif" ContentType="image/gif"/>
  <Override PartName="/word/media/image10.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gif" ContentType="image/gif"/>
  <Override PartName="/word/media/image15.jpeg" ContentType="image/jpeg"/>
  <Override PartName="/word/media/image14.gif" ContentType="image/gif"/>
  <Override PartName="/word/media/image31.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2.jpeg" ContentType="image/jpeg"/>
  <Override PartName="/word/media/image1.jpeg" ContentType="image/jpeg"/>
  <Override PartName="/word/media/image4.gif" ContentType="image/gif"/>
  <Override PartName="/word/media/image27.jpeg" ContentType="image/jpeg"/>
  <Override PartName="/word/media/image50.jpeg" ContentType="image/jpeg"/>
  <Override PartName="/word/media/image34.jpeg" ContentType="image/jpeg"/>
  <Override PartName="/word/media/image40.jpeg" ContentType="image/jpeg"/>
  <Override PartName="/word/media/image44.jpeg" ContentType="image/jpeg"/>
  <Override PartName="/word/media/image41.jpeg" ContentType="image/jpeg"/>
  <Override PartName="/word/media/image45.jpeg" ContentType="image/jpeg"/>
  <Override PartName="/word/media/image43.jpeg" ContentType="image/jpeg"/>
  <Override PartName="/word/media/image33.gif" ContentType="image/gif"/>
  <Override PartName="/word/media/image46.jpeg" ContentType="image/jpeg"/>
  <Override PartName="/word/media/image30.jpeg" ContentType="image/jpeg"/>
  <Override PartName="/word/media/image47.jpeg" ContentType="image/jpeg"/>
  <Override PartName="/word/media/image32.jpeg" ContentType="image/jpeg"/>
  <Override PartName="/word/media/image5.jpeg" ContentType="image/jpeg"/>
  <Override PartName="/word/media/image26.jpeg" ContentType="image/jpeg"/>
  <Override PartName="/word/media/image49.jpeg" ContentType="image/jpeg"/>
  <Override PartName="/word/media/image48.jpeg" ContentType="image/jpeg"/>
  <Override PartName="/word/media/image13.gif" ContentType="image/gif"/>
  <Override PartName="/word/media/image9.jpeg" ContentType="image/jpeg"/>
  <Override PartName="/word/media/image7.jpeg" ContentType="image/jpeg"/>
  <Override PartName="/word/media/image38.jpeg" ContentType="image/jpeg"/>
  <Override PartName="/word/media/image35.gif" ContentType="image/gif"/>
  <Override PartName="/word/media/image39.jpeg" ContentType="image/jpeg"/>
  <Override PartName="/word/media/image8.jpeg" ContentType="image/jpeg"/>
  <Override PartName="/word/media/image29.jpeg" ContentType="image/jpeg"/>
  <Override PartName="/word/media/image52.jpeg" ContentType="image/jpeg"/>
  <Override PartName="/word/media/image12.jpeg" ContentType="image/jpeg"/>
  <Override PartName="/word/media/image28.jpeg" ContentType="image/jpeg"/>
  <Override PartName="/word/media/image51.jpeg" ContentType="image/jpeg"/>
  <Override PartName="/word/media/image11.gif" ContentType="image/gif"/>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120" w:after="283"/>
        <w:jc w:val="left"/>
        <w:rPr/>
      </w:pPr>
      <w:hyperlink w:anchor="toc_page">
        <w:bookmarkStart w:id="0" w:name="ntnx-20261020.htm"/>
        <w:bookmarkStart w:id="1" w:name="ksntnx20261020"/>
        <w:bookmarkEnd w:id="0"/>
        <w:bookmarkEnd w:id="1"/>
        <w:r>
          <w:drawing>
            <wp:anchor behindDoc="0" distT="0" distB="0" distL="0" distR="0" simplePos="0" locked="0" layoutInCell="1" allowOverlap="1" relativeHeight="261">
              <wp:simplePos x="0" y="0"/>
              <wp:positionH relativeFrom="page">
                <wp:posOffset>2428875</wp:posOffset>
              </wp:positionH>
              <wp:positionV relativeFrom="page">
                <wp:posOffset>6467475</wp:posOffset>
              </wp:positionV>
              <wp:extent cx="571500" cy="404495"/>
              <wp:effectExtent l="0" t="0" r="0" b="0"/>
              <wp:wrapNone/>
              <wp:docPr id="1"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90" descr=""/>
                      <pic:cNvPicPr>
                        <a:picLocks noChangeAspect="1" noChangeArrowheads="1"/>
                      </pic:cNvPicPr>
                    </pic:nvPicPr>
                    <pic:blipFill>
                      <a:blip r:embed="rId2"/>
                      <a:stretch>
                        <a:fillRect/>
                      </a:stretch>
                    </pic:blipFill>
                    <pic:spPr bwMode="auto">
                      <a:xfrm>
                        <a:off x="0" y="0"/>
                        <a:ext cx="571500" cy="404495"/>
                      </a:xfrm>
                      <a:prstGeom prst="rect">
                        <a:avLst/>
                      </a:prstGeom>
                    </pic:spPr>
                  </pic:pic>
                </a:graphicData>
              </a:graphic>
            </wp:anchor>
          </w:drawing>
          <w:drawing>
            <wp:anchor behindDoc="0" distT="0" distB="0" distL="0" distR="0" simplePos="0" locked="0" layoutInCell="1" allowOverlap="1" relativeHeight="260">
              <wp:simplePos x="0" y="0"/>
              <wp:positionH relativeFrom="page">
                <wp:posOffset>4676775</wp:posOffset>
              </wp:positionH>
              <wp:positionV relativeFrom="page">
                <wp:posOffset>4781550</wp:posOffset>
              </wp:positionV>
              <wp:extent cx="577850" cy="408940"/>
              <wp:effectExtent l="0" t="0" r="0" b="0"/>
              <wp:wrapNone/>
              <wp:docPr id="2"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89" descr=""/>
                      <pic:cNvPicPr>
                        <a:picLocks noChangeAspect="1" noChangeArrowheads="1"/>
                      </pic:cNvPicPr>
                    </pic:nvPicPr>
                    <pic:blipFill>
                      <a:blip r:embed="rId3"/>
                      <a:stretch>
                        <a:fillRect/>
                      </a:stretch>
                    </pic:blipFill>
                    <pic:spPr bwMode="auto">
                      <a:xfrm>
                        <a:off x="0" y="0"/>
                        <a:ext cx="577850" cy="408940"/>
                      </a:xfrm>
                      <a:prstGeom prst="rect">
                        <a:avLst/>
                      </a:prstGeom>
                    </pic:spPr>
                  </pic:pic>
                </a:graphicData>
              </a:graphic>
            </wp:anchor>
          </w:drawing>
          <w:drawing>
            <wp:anchor behindDoc="0" distT="0" distB="0" distL="0" distR="0" simplePos="0" locked="0" layoutInCell="1" allowOverlap="1" relativeHeight="247">
              <wp:simplePos x="0" y="0"/>
              <wp:positionH relativeFrom="page">
                <wp:posOffset>-295275</wp:posOffset>
              </wp:positionH>
              <wp:positionV relativeFrom="page">
                <wp:posOffset>-276225</wp:posOffset>
              </wp:positionV>
              <wp:extent cx="8331200" cy="10585450"/>
              <wp:effectExtent l="0" t="0" r="0" b="0"/>
              <wp:wrapNone/>
              <wp:docPr id="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0" descr=""/>
                      <pic:cNvPicPr>
                        <a:picLocks noChangeAspect="1" noChangeArrowheads="1"/>
                      </pic:cNvPicPr>
                    </pic:nvPicPr>
                    <pic:blipFill>
                      <a:blip r:embed="rId4"/>
                      <a:stretch>
                        <a:fillRect/>
                      </a:stretch>
                    </pic:blipFill>
                    <pic:spPr bwMode="auto">
                      <a:xfrm>
                        <a:off x="0" y="0"/>
                        <a:ext cx="8331200" cy="10585450"/>
                      </a:xfrm>
                      <a:prstGeom prst="rect">
                        <a:avLst/>
                      </a:prstGeom>
                    </pic:spPr>
                  </pic:pic>
                </a:graphicData>
              </a:graphic>
            </wp:anchor>
          </w:drawing>
          <w:drawing>
            <wp:anchor behindDoc="0" distT="0" distB="0" distL="0" distR="0" simplePos="0" locked="0" layoutInCell="1" allowOverlap="1" relativeHeight="172">
              <wp:simplePos x="0" y="0"/>
              <wp:positionH relativeFrom="page">
                <wp:posOffset>9525</wp:posOffset>
              </wp:positionH>
              <wp:positionV relativeFrom="page">
                <wp:posOffset>6985</wp:posOffset>
              </wp:positionV>
              <wp:extent cx="7760335" cy="10050145"/>
              <wp:effectExtent l="0" t="0" r="0" b="0"/>
              <wp:wrapNone/>
              <wp:docPr id="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2" descr=""/>
                      <pic:cNvPicPr>
                        <a:picLocks noChangeAspect="1" noChangeArrowheads="1"/>
                      </pic:cNvPicPr>
                    </pic:nvPicPr>
                    <pic:blipFill>
                      <a:blip r:embed="rId5"/>
                      <a:stretch>
                        <a:fillRect/>
                      </a:stretch>
                    </pic:blipFill>
                    <pic:spPr bwMode="auto">
                      <a:xfrm>
                        <a:off x="0" y="0"/>
                        <a:ext cx="7760335" cy="10050145"/>
                      </a:xfrm>
                      <a:prstGeom prst="rect">
                        <a:avLst/>
                      </a:prstGeom>
                    </pic:spPr>
                  </pic:pic>
                </a:graphicData>
              </a:graphic>
            </wp:anchor>
          </w:drawing>
        </w:r>
      </w:hyperlink>
      <w:r>
        <w:rPr>
          <w:rStyle w:val="InternetLink"/>
          <w:rFonts w:ascii="Montserrat;sans-serif" w:hAnsi="Montserrat;sans-serif"/>
          <w:b/>
          <w:color w:val="0000FF"/>
          <w:sz w:val="20"/>
          <w:u w:val="single"/>
        </w:rPr>
        <w:t>Table of Contents</w:t>
      </w:r>
      <w:r>
        <mc:AlternateContent>
          <mc:Choice Requires="wps">
            <w:drawing>
              <wp:anchor behindDoc="0" distT="0" distB="0" distL="0" distR="0" simplePos="0" locked="0" layoutInCell="1" allowOverlap="1" relativeHeight="258">
                <wp:simplePos x="0" y="0"/>
                <wp:positionH relativeFrom="page">
                  <wp:posOffset>7558405</wp:posOffset>
                </wp:positionH>
                <wp:positionV relativeFrom="page">
                  <wp:posOffset>-495300</wp:posOffset>
                </wp:positionV>
                <wp:extent cx="607695" cy="10830560"/>
                <wp:effectExtent l="0" t="0" r="0" b="0"/>
                <wp:wrapNone/>
                <wp:docPr id="5" name="Frame8"/>
                <a:graphic xmlns:a="http://schemas.openxmlformats.org/drawingml/2006/main">
                  <a:graphicData uri="http://schemas.microsoft.com/office/word/2010/wordprocessingShape">
                    <wps:wsp>
                      <wps:cNvSpPr txBox="1"/>
                      <wps:spPr>
                        <a:xfrm>
                          <a:off x="0" y="0"/>
                          <a:ext cx="607695" cy="10830560"/>
                        </a:xfrm>
                        <a:prstGeom prst="rect"/>
                        <a:solidFill>
                          <a:srgbClr val="FFFFFF"/>
                        </a:solidFill>
                      </wps:spPr>
                      <wps:txbx>
                        <w:txbxContent>
                          <w:p>
                            <w:pPr>
                              <w:pStyle w:val="TextBody"/>
                              <w:bidi w:val="0"/>
                              <w:spacing w:before="120" w:after="283"/>
                              <w:jc w:val="both"/>
                              <w:rPr/>
                            </w:pPr>
                            <w:r>
                              <w:rPr/>
                              <w:t> </w:t>
                            </w:r>
                          </w:p>
                        </w:txbxContent>
                      </wps:txbx>
                      <wps:bodyPr anchor="t" lIns="0" tIns="0" rIns="0" bIns="0">
                        <a:noAutofit/>
                      </wps:bodyPr>
                    </wps:wsp>
                  </a:graphicData>
                </a:graphic>
              </wp:anchor>
            </w:drawing>
          </mc:Choice>
          <mc:Fallback>
            <w:pict>
              <v:rect style="position:absolute;rotation:-0;width:47.85pt;height:852.8pt;mso-wrap-distance-left:0pt;mso-wrap-distance-right:0pt;mso-wrap-distance-top:0pt;mso-wrap-distance-bottom:0pt;margin-top:-39pt;mso-position-vertical-relative:page;margin-left:595.15pt;mso-position-horizontal-relative:page">
                <v:textbox inset="0in,0in,0in,0in">
                  <w:txbxContent>
                    <w:p>
                      <w:pPr>
                        <w:pStyle w:val="TextBody"/>
                        <w:bidi w:val="0"/>
                        <w:spacing w:before="120" w:after="283"/>
                        <w:jc w:val="both"/>
                        <w:rPr/>
                      </w:pPr>
                      <w:r>
                        <w:rPr/>
                        <w:t> </w:t>
                      </w:r>
                    </w:p>
                  </w:txbxContent>
                </v:textbox>
                <w10:wrap type="none"/>
              </v:rect>
            </w:pict>
          </mc:Fallback>
        </mc:AlternateContent>
      </w:r>
      <w:r>
        <mc:AlternateContent>
          <mc:Choice Requires="wps">
            <w:drawing>
              <wp:anchor behindDoc="0" distT="0" distB="0" distL="0" distR="0" simplePos="0" locked="0" layoutInCell="1" allowOverlap="1" relativeHeight="256">
                <wp:simplePos x="0" y="0"/>
                <wp:positionH relativeFrom="page">
                  <wp:posOffset>-333375</wp:posOffset>
                </wp:positionH>
                <wp:positionV relativeFrom="page">
                  <wp:posOffset>-285750</wp:posOffset>
                </wp:positionV>
                <wp:extent cx="563245" cy="10577195"/>
                <wp:effectExtent l="0" t="0" r="0" b="0"/>
                <wp:wrapNone/>
                <wp:docPr id="6" name="Frame7"/>
                <a:graphic xmlns:a="http://schemas.openxmlformats.org/drawingml/2006/main">
                  <a:graphicData uri="http://schemas.microsoft.com/office/word/2010/wordprocessingShape">
                    <wps:wsp>
                      <wps:cNvSpPr txBox="1"/>
                      <wps:spPr>
                        <a:xfrm>
                          <a:off x="0" y="0"/>
                          <a:ext cx="563245" cy="10577195"/>
                        </a:xfrm>
                        <a:prstGeom prst="rect"/>
                        <a:solidFill>
                          <a:srgbClr val="FFFFFF"/>
                        </a:solidFill>
                      </wps:spPr>
                      <wps:txbx>
                        <w:txbxContent>
                          <w:p>
                            <w:pPr>
                              <w:pStyle w:val="TextBody"/>
                              <w:bidi w:val="0"/>
                              <w:spacing w:before="120" w:after="283"/>
                              <w:jc w:val="both"/>
                              <w:rPr/>
                            </w:pPr>
                            <w:r>
                              <w:rPr/>
                              <w:t> </w:t>
                            </w:r>
                          </w:p>
                        </w:txbxContent>
                      </wps:txbx>
                      <wps:bodyPr anchor="t" lIns="0" tIns="0" rIns="0" bIns="0">
                        <a:noAutofit/>
                      </wps:bodyPr>
                    </wps:wsp>
                  </a:graphicData>
                </a:graphic>
              </wp:anchor>
            </w:drawing>
          </mc:Choice>
          <mc:Fallback>
            <w:pict>
              <v:rect style="position:absolute;rotation:-0;width:44.35pt;height:832.85pt;mso-wrap-distance-left:0pt;mso-wrap-distance-right:0pt;mso-wrap-distance-top:0pt;mso-wrap-distance-bottom:0pt;margin-top:-22.5pt;mso-position-vertical-relative:page;margin-left:-26.25pt;mso-position-horizontal-relative:page">
                <v:textbox inset="0in,0in,0in,0in">
                  <w:txbxContent>
                    <w:p>
                      <w:pPr>
                        <w:pStyle w:val="TextBody"/>
                        <w:bidi w:val="0"/>
                        <w:spacing w:before="120" w:after="283"/>
                        <w:jc w:val="both"/>
                        <w:rPr/>
                      </w:pPr>
                      <w:r>
                        <w:rPr/>
                        <w:t> </w:t>
                      </w:r>
                    </w:p>
                  </w:txbxContent>
                </v:textbox>
                <w10:wrap type="none"/>
              </v:rect>
            </w:pict>
          </mc:Fallback>
        </mc:AlternateContent>
      </w:r>
      <w:r>
        <mc:AlternateContent>
          <mc:Choice Requires="wps">
            <w:drawing>
              <wp:anchor behindDoc="0" distT="0" distB="0" distL="0" distR="0" simplePos="0" locked="0" layoutInCell="1" allowOverlap="1" relativeHeight="254">
                <wp:simplePos x="0" y="0"/>
                <wp:positionH relativeFrom="page">
                  <wp:posOffset>7553325</wp:posOffset>
                </wp:positionH>
                <wp:positionV relativeFrom="page">
                  <wp:posOffset>-238125</wp:posOffset>
                </wp:positionV>
                <wp:extent cx="579755" cy="10750550"/>
                <wp:effectExtent l="0" t="0" r="0" b="0"/>
                <wp:wrapNone/>
                <wp:docPr id="7" name="Frame6"/>
                <a:graphic xmlns:a="http://schemas.openxmlformats.org/drawingml/2006/main">
                  <a:graphicData uri="http://schemas.microsoft.com/office/word/2010/wordprocessingShape">
                    <wps:wsp>
                      <wps:cNvSpPr txBox="1"/>
                      <wps:spPr>
                        <a:xfrm>
                          <a:off x="0" y="0"/>
                          <a:ext cx="579755" cy="10750550"/>
                        </a:xfrm>
                        <a:prstGeom prst="rect"/>
                        <a:solidFill>
                          <a:srgbClr val="FFFFFF"/>
                        </a:solidFill>
                      </wps:spPr>
                      <wps:txbx>
                        <w:txbxContent>
                          <w:p>
                            <w:pPr>
                              <w:pStyle w:val="TextBody"/>
                              <w:bidi w:val="0"/>
                              <w:spacing w:before="120" w:after="283"/>
                              <w:jc w:val="both"/>
                              <w:rPr/>
                            </w:pPr>
                            <w:r>
                              <w:rPr/>
                              <w:t> </w:t>
                            </w:r>
                          </w:p>
                        </w:txbxContent>
                      </wps:txbx>
                      <wps:bodyPr anchor="t" lIns="0" tIns="0" rIns="0" bIns="0">
                        <a:noAutofit/>
                      </wps:bodyPr>
                    </wps:wsp>
                  </a:graphicData>
                </a:graphic>
              </wp:anchor>
            </w:drawing>
          </mc:Choice>
          <mc:Fallback>
            <w:pict>
              <v:rect style="position:absolute;rotation:-0;width:45.65pt;height:846.5pt;mso-wrap-distance-left:0pt;mso-wrap-distance-right:0pt;mso-wrap-distance-top:0pt;mso-wrap-distance-bottom:0pt;margin-top:-18.75pt;mso-position-vertical-relative:page;margin-left:594.75pt;mso-position-horizontal-relative:page">
                <v:textbox inset="0in,0in,0in,0in">
                  <w:txbxContent>
                    <w:p>
                      <w:pPr>
                        <w:pStyle w:val="TextBody"/>
                        <w:bidi w:val="0"/>
                        <w:spacing w:before="120" w:after="283"/>
                        <w:jc w:val="both"/>
                        <w:rPr/>
                      </w:pPr>
                      <w:r>
                        <w:rPr/>
                        <w:t> </w:t>
                      </w:r>
                    </w:p>
                  </w:txbxContent>
                </v:textbox>
                <w10:wrap type="none"/>
              </v:rect>
            </w:pict>
          </mc:Fallback>
        </mc:AlternateContent>
      </w:r>
      <w:r>
        <mc:AlternateContent>
          <mc:Choice Requires="wps">
            <w:drawing>
              <wp:anchor behindDoc="0" distT="0" distB="0" distL="0" distR="0" simplePos="0" locked="0" layoutInCell="1" allowOverlap="1" relativeHeight="252">
                <wp:simplePos x="0" y="0"/>
                <wp:positionH relativeFrom="page">
                  <wp:posOffset>-304800</wp:posOffset>
                </wp:positionH>
                <wp:positionV relativeFrom="page">
                  <wp:posOffset>-266700</wp:posOffset>
                </wp:positionV>
                <wp:extent cx="527050" cy="10637520"/>
                <wp:effectExtent l="0" t="0" r="0" b="0"/>
                <wp:wrapNone/>
                <wp:docPr id="8" name="Frame5"/>
                <a:graphic xmlns:a="http://schemas.openxmlformats.org/drawingml/2006/main">
                  <a:graphicData uri="http://schemas.microsoft.com/office/word/2010/wordprocessingShape">
                    <wps:wsp>
                      <wps:cNvSpPr txBox="1"/>
                      <wps:spPr>
                        <a:xfrm>
                          <a:off x="0" y="0"/>
                          <a:ext cx="527050" cy="10637520"/>
                        </a:xfrm>
                        <a:prstGeom prst="rect"/>
                        <a:solidFill>
                          <a:srgbClr val="FFFFFF"/>
                        </a:solidFill>
                      </wps:spPr>
                      <wps:txbx>
                        <w:txbxContent>
                          <w:p>
                            <w:pPr>
                              <w:pStyle w:val="TextBody"/>
                              <w:bidi w:val="0"/>
                              <w:spacing w:before="120" w:after="283"/>
                              <w:jc w:val="both"/>
                              <w:rPr/>
                            </w:pPr>
                            <w:r>
                              <w:rPr/>
                              <w:t> </w:t>
                            </w:r>
                          </w:p>
                        </w:txbxContent>
                      </wps:txbx>
                      <wps:bodyPr anchor="t" lIns="0" tIns="0" rIns="0" bIns="0">
                        <a:noAutofit/>
                      </wps:bodyPr>
                    </wps:wsp>
                  </a:graphicData>
                </a:graphic>
              </wp:anchor>
            </w:drawing>
          </mc:Choice>
          <mc:Fallback>
            <w:pict>
              <v:rect style="position:absolute;rotation:-0;width:41.5pt;height:837.6pt;mso-wrap-distance-left:0pt;mso-wrap-distance-right:0pt;mso-wrap-distance-top:0pt;mso-wrap-distance-bottom:0pt;margin-top:-21pt;mso-position-vertical-relative:page;margin-left:-24pt;mso-position-horizontal-relative:page">
                <v:textbox inset="0in,0in,0in,0in">
                  <w:txbxContent>
                    <w:p>
                      <w:pPr>
                        <w:pStyle w:val="TextBody"/>
                        <w:bidi w:val="0"/>
                        <w:spacing w:before="120" w:after="283"/>
                        <w:jc w:val="both"/>
                        <w:rPr/>
                      </w:pPr>
                      <w:r>
                        <w:rPr/>
                        <w:t> </w:t>
                      </w:r>
                    </w:p>
                  </w:txbxContent>
                </v:textbox>
                <w10:wrap type="none"/>
              </v:rect>
            </w:pict>
          </mc:Fallback>
        </mc:AlternateContent>
      </w:r>
      <w:r>
        <mc:AlternateContent>
          <mc:Choice Requires="wps">
            <w:drawing>
              <wp:anchor behindDoc="0" distT="0" distB="0" distL="0" distR="0" simplePos="0" locked="0" layoutInCell="1" allowOverlap="1" relativeHeight="250">
                <wp:simplePos x="0" y="0"/>
                <wp:positionH relativeFrom="page">
                  <wp:posOffset>7562850</wp:posOffset>
                </wp:positionH>
                <wp:positionV relativeFrom="page">
                  <wp:posOffset>-283210</wp:posOffset>
                </wp:positionV>
                <wp:extent cx="557530" cy="10654665"/>
                <wp:effectExtent l="0" t="0" r="0" b="0"/>
                <wp:wrapNone/>
                <wp:docPr id="9" name="Frame4"/>
                <a:graphic xmlns:a="http://schemas.openxmlformats.org/drawingml/2006/main">
                  <a:graphicData uri="http://schemas.microsoft.com/office/word/2010/wordprocessingShape">
                    <wps:wsp>
                      <wps:cNvSpPr txBox="1"/>
                      <wps:spPr>
                        <a:xfrm>
                          <a:off x="0" y="0"/>
                          <a:ext cx="557530" cy="10654665"/>
                        </a:xfrm>
                        <a:prstGeom prst="rect"/>
                        <a:solidFill>
                          <a:srgbClr val="FFFFFF"/>
                        </a:solidFill>
                      </wps:spPr>
                      <wps:txbx>
                        <w:txbxContent>
                          <w:p>
                            <w:pPr>
                              <w:pStyle w:val="TextBody"/>
                              <w:bidi w:val="0"/>
                              <w:spacing w:before="120" w:after="283"/>
                              <w:jc w:val="both"/>
                              <w:rPr/>
                            </w:pPr>
                            <w:r>
                              <w:rPr/>
                              <w:t> </w:t>
                            </w:r>
                          </w:p>
                        </w:txbxContent>
                      </wps:txbx>
                      <wps:bodyPr anchor="t" lIns="0" tIns="0" rIns="0" bIns="0">
                        <a:noAutofit/>
                      </wps:bodyPr>
                    </wps:wsp>
                  </a:graphicData>
                </a:graphic>
              </wp:anchor>
            </w:drawing>
          </mc:Choice>
          <mc:Fallback>
            <w:pict>
              <v:rect style="position:absolute;rotation:-0;width:43.9pt;height:838.95pt;mso-wrap-distance-left:0pt;mso-wrap-distance-right:0pt;mso-wrap-distance-top:0pt;mso-wrap-distance-bottom:0pt;margin-top:-22.3pt;mso-position-vertical-relative:page;margin-left:595.5pt;mso-position-horizontal-relative:page">
                <v:textbox inset="0in,0in,0in,0in">
                  <w:txbxContent>
                    <w:p>
                      <w:pPr>
                        <w:pStyle w:val="TextBody"/>
                        <w:bidi w:val="0"/>
                        <w:spacing w:before="120" w:after="283"/>
                        <w:jc w:val="both"/>
                        <w:rPr/>
                      </w:pPr>
                      <w:r>
                        <w:rPr/>
                        <w:t> </w:t>
                      </w:r>
                    </w:p>
                  </w:txbxContent>
                </v:textbox>
                <w10:wrap type="none"/>
              </v:rect>
            </w:pict>
          </mc:Fallback>
        </mc:AlternateContent>
      </w:r>
      <w:r>
        <mc:AlternateContent>
          <mc:Choice Requires="wps">
            <w:drawing>
              <wp:anchor behindDoc="0" distT="0" distB="0" distL="0" distR="0" simplePos="0" locked="0" layoutInCell="1" allowOverlap="1" relativeHeight="248">
                <wp:simplePos x="0" y="0"/>
                <wp:positionH relativeFrom="page">
                  <wp:posOffset>-314325</wp:posOffset>
                </wp:positionH>
                <wp:positionV relativeFrom="page">
                  <wp:posOffset>-219075</wp:posOffset>
                </wp:positionV>
                <wp:extent cx="537210" cy="10574655"/>
                <wp:effectExtent l="0" t="0" r="0" b="0"/>
                <wp:wrapNone/>
                <wp:docPr id="10" name="Frame3"/>
                <a:graphic xmlns:a="http://schemas.openxmlformats.org/drawingml/2006/main">
                  <a:graphicData uri="http://schemas.microsoft.com/office/word/2010/wordprocessingShape">
                    <wps:wsp>
                      <wps:cNvSpPr txBox="1"/>
                      <wps:spPr>
                        <a:xfrm>
                          <a:off x="0" y="0"/>
                          <a:ext cx="537210" cy="10574655"/>
                        </a:xfrm>
                        <a:prstGeom prst="rect"/>
                        <a:solidFill>
                          <a:srgbClr val="FFFFFF"/>
                        </a:solidFill>
                      </wps:spPr>
                      <wps:txbx>
                        <w:txbxContent>
                          <w:p>
                            <w:pPr>
                              <w:pStyle w:val="TextBody"/>
                              <w:bidi w:val="0"/>
                              <w:spacing w:before="120" w:after="283"/>
                              <w:jc w:val="both"/>
                              <w:rPr/>
                            </w:pPr>
                            <w:r>
                              <w:rPr/>
                              <w:t> </w:t>
                            </w:r>
                          </w:p>
                        </w:txbxContent>
                      </wps:txbx>
                      <wps:bodyPr anchor="t" lIns="0" tIns="0" rIns="0" bIns="0">
                        <a:noAutofit/>
                      </wps:bodyPr>
                    </wps:wsp>
                  </a:graphicData>
                </a:graphic>
              </wp:anchor>
            </w:drawing>
          </mc:Choice>
          <mc:Fallback>
            <w:pict>
              <v:rect style="position:absolute;rotation:-0;width:42.3pt;height:832.65pt;mso-wrap-distance-left:0pt;mso-wrap-distance-right:0pt;mso-wrap-distance-top:0pt;mso-wrap-distance-bottom:0pt;margin-top:-17.25pt;mso-position-vertical-relative:page;margin-left:-24.75pt;mso-position-horizontal-relative:page">
                <v:textbox inset="0in,0in,0in,0in">
                  <w:txbxContent>
                    <w:p>
                      <w:pPr>
                        <w:pStyle w:val="TextBody"/>
                        <w:bidi w:val="0"/>
                        <w:spacing w:before="120" w:after="283"/>
                        <w:jc w:val="both"/>
                        <w:rPr/>
                      </w:pPr>
                      <w:r>
                        <w:rPr/>
                        <w:t> </w:t>
                      </w:r>
                    </w:p>
                  </w:txbxContent>
                </v:textbox>
                <w10:wrap type="none"/>
              </v:rect>
            </w:pict>
          </mc:Fallback>
        </mc:AlternateContent>
      </w:r>
      <w:r>
        <mc:AlternateContent>
          <mc:Choice Requires="wps">
            <w:drawing>
              <wp:anchor behindDoc="0" distT="0" distB="0" distL="0" distR="0" simplePos="0" locked="0" layoutInCell="1" allowOverlap="1" relativeHeight="162">
                <wp:simplePos x="0" y="0"/>
                <wp:positionH relativeFrom="page">
                  <wp:posOffset>457200</wp:posOffset>
                </wp:positionH>
                <wp:positionV relativeFrom="page">
                  <wp:posOffset>2571750</wp:posOffset>
                </wp:positionV>
                <wp:extent cx="3915410" cy="7651115"/>
                <wp:effectExtent l="0" t="0" r="0" b="0"/>
                <wp:wrapNone/>
                <wp:docPr id="11" name="Frame2"/>
                <a:graphic xmlns:a="http://schemas.openxmlformats.org/drawingml/2006/main">
                  <a:graphicData uri="http://schemas.microsoft.com/office/word/2010/wordprocessingShape">
                    <wps:wsp>
                      <wps:cNvSpPr txBox="1"/>
                      <wps:spPr>
                        <a:xfrm>
                          <a:off x="0" y="0"/>
                          <a:ext cx="3915410" cy="7651115"/>
                        </a:xfrm>
                        <a:prstGeom prst="rect"/>
                        <a:solidFill>
                          <a:srgbClr val="FFFFFF"/>
                        </a:solidFill>
                      </wps:spPr>
                      <wps:txbx>
                        <w:txbxContent>
                          <w:p>
                            <w:pPr>
                              <w:pStyle w:val="TextBody"/>
                              <w:bidi w:val="0"/>
                              <w:spacing w:before="120" w:after="283"/>
                              <w:jc w:val="both"/>
                              <w:rPr>
                                <w:rFonts w:ascii="Montserrat;sans-serif" w:hAnsi="Montserrat;sans-serif"/>
                                <w:b/>
                                <w:color w:val="000000"/>
                                <w:sz w:val="18"/>
                              </w:rPr>
                            </w:pPr>
                            <w:r>
                              <w:rPr>
                                <w:rFonts w:ascii="Montserrat;sans-serif" w:hAnsi="Montserrat;sans-serif"/>
                                <w:b/>
                                <w:color w:val="000000"/>
                                <w:sz w:val="18"/>
                              </w:rPr>
                              <w:t>To the Stockholders of Nutanix, Inc.:</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On behalf of our Board of Directors, it is our pleasure to invite you to attend the 2026 annual meeting of stockholders (including any adjournment or postponement thereof, the “Annual Meeting”) of Nutanix, Inc. The Annual Meeting will be held virtually via live webcast at www.virtualshareholdermeeting.com/NTNX2026 on Friday, December 11, 2026, at 9:00 a.m., Pacific Time.</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We are holding the Annual Meeting for the following purposes:</w:t>
                            </w:r>
                          </w:p>
                          <w:tbl>
                            <w:tblPr>
                              <w:tblW w:w="10205" w:type="dxa"/>
                              <w:jc w:val="left"/>
                              <w:tblInd w:w="0" w:type="dxa"/>
                              <w:tblLayout w:type="fixed"/>
                              <w:tblCellMar>
                                <w:top w:w="28" w:type="dxa"/>
                                <w:left w:w="28" w:type="dxa"/>
                                <w:bottom w:w="28" w:type="dxa"/>
                                <w:right w:w="28" w:type="dxa"/>
                              </w:tblCellMar>
                            </w:tblPr>
                            <w:tblGrid>
                              <w:gridCol w:w="274"/>
                              <w:gridCol w:w="6692"/>
                              <w:gridCol w:w="146"/>
                              <w:gridCol w:w="738"/>
                              <w:gridCol w:w="1108"/>
                              <w:gridCol w:w="146"/>
                              <w:gridCol w:w="1101"/>
                            </w:tblGrid>
                            <w:tr>
                              <w:trPr/>
                              <w:tc>
                                <w:tcPr>
                                  <w:tcW w:w="274" w:type="dxa"/>
                                  <w:tcBorders/>
                                  <w:vAlign w:val="center"/>
                                </w:tcPr>
                                <w:p>
                                  <w:pPr>
                                    <w:pStyle w:val="TableContents"/>
                                    <w:bidi w:val="0"/>
                                    <w:spacing w:before="0" w:after="283"/>
                                    <w:jc w:val="left"/>
                                    <w:rPr>
                                      <w:sz w:val="4"/>
                                      <w:szCs w:val="4"/>
                                    </w:rPr>
                                  </w:pPr>
                                  <w:r>
                                    <w:rPr>
                                      <w:sz w:val="4"/>
                                      <w:szCs w:val="4"/>
                                    </w:rPr>
                                  </w:r>
                                </w:p>
                              </w:tc>
                              <w:tc>
                                <w:tcPr>
                                  <w:tcW w:w="66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r>
                            <w:tr>
                              <w:trPr/>
                              <w:tc>
                                <w:tcPr>
                                  <w:tcW w:w="6966" w:type="dxa"/>
                                  <w:gridSpan w:val="2"/>
                                  <w:tcBorders>
                                    <w:bottom w:val="single" w:sz="4" w:space="0" w:color="7855FA"/>
                                  </w:tcBorders>
                                  <w:tcMar>
                                    <w:top w:w="0" w:type="dxa"/>
                                    <w:left w:w="0" w:type="dxa"/>
                                    <w:right w:w="0" w:type="dxa"/>
                                  </w:tcMar>
                                  <w:vAlign w:val="center"/>
                                </w:tcPr>
                                <w:p>
                                  <w:pPr>
                                    <w:pStyle w:val="TableContents"/>
                                    <w:bidi w:val="0"/>
                                    <w:spacing w:before="120" w:after="20"/>
                                    <w:jc w:val="left"/>
                                    <w:rPr>
                                      <w:rFonts w:ascii="Montserrat;Montserrat Medium;sans-serif" w:hAnsi="Montserrat;Montserrat Medium;sans-serif"/>
                                      <w:b/>
                                      <w:color w:val="7855FA"/>
                                      <w:sz w:val="18"/>
                                    </w:rPr>
                                  </w:pPr>
                                  <w:r>
                                    <w:rPr>
                                      <w:rFonts w:ascii="Montserrat;Montserrat Medium;sans-serif" w:hAnsi="Montserrat;Montserrat Medium;sans-serif"/>
                                      <w:b/>
                                      <w:color w:val="7855FA"/>
                                      <w:sz w:val="18"/>
                                    </w:rPr>
                                    <w:t>Proposals</w:t>
                                  </w:r>
                                </w:p>
                              </w:tc>
                              <w:tc>
                                <w:tcPr>
                                  <w:tcW w:w="146" w:type="dxa"/>
                                  <w:tcBorders>
                                    <w:bottom w:val="single" w:sz="4" w:space="0" w:color="7855FA"/>
                                  </w:tcBorders>
                                  <w:tcMar>
                                    <w:top w:w="0" w:type="dxa"/>
                                    <w:left w:w="0" w:type="dxa"/>
                                    <w:right w:w="0" w:type="dxa"/>
                                  </w:tcMar>
                                  <w:vAlign w:val="center"/>
                                </w:tcPr>
                                <w:p>
                                  <w:pPr>
                                    <w:pStyle w:val="TableContents"/>
                                    <w:bidi w:val="0"/>
                                    <w:spacing w:before="120" w:after="20"/>
                                    <w:jc w:val="left"/>
                                    <w:rPr/>
                                  </w:pPr>
                                  <w:r>
                                    <w:rPr/>
                                    <w:t> </w:t>
                                  </w:r>
                                </w:p>
                              </w:tc>
                              <w:tc>
                                <w:tcPr>
                                  <w:tcW w:w="1846" w:type="dxa"/>
                                  <w:gridSpan w:val="2"/>
                                  <w:tcBorders>
                                    <w:bottom w:val="single" w:sz="4" w:space="0" w:color="7855FA"/>
                                  </w:tcBorders>
                                  <w:tcMar>
                                    <w:top w:w="0" w:type="dxa"/>
                                    <w:left w:w="0" w:type="dxa"/>
                                    <w:right w:w="0" w:type="dxa"/>
                                  </w:tcMar>
                                  <w:vAlign w:val="center"/>
                                </w:tcPr>
                                <w:p>
                                  <w:pPr>
                                    <w:pStyle w:val="TableContents"/>
                                    <w:bidi w:val="0"/>
                                    <w:spacing w:before="120" w:after="20"/>
                                    <w:jc w:val="left"/>
                                    <w:rPr>
                                      <w:rFonts w:ascii="Montserrat;Montserrat Medium;sans-serif" w:hAnsi="Montserrat;Montserrat Medium;sans-serif"/>
                                      <w:b/>
                                      <w:color w:val="7855FA"/>
                                      <w:sz w:val="18"/>
                                    </w:rPr>
                                  </w:pPr>
                                  <w:r>
                                    <w:rPr>
                                      <w:rFonts w:ascii="Montserrat;Montserrat Medium;sans-serif" w:hAnsi="Montserrat;Montserrat Medium;sans-serif"/>
                                      <w:b/>
                                      <w:color w:val="7855FA"/>
                                      <w:sz w:val="18"/>
                                    </w:rPr>
                                    <w:t>Board vote</w:t>
                                    <w:br/>
                                    <w:t>recommendation</w:t>
                                  </w:r>
                                </w:p>
                              </w:tc>
                              <w:tc>
                                <w:tcPr>
                                  <w:tcW w:w="146" w:type="dxa"/>
                                  <w:tcBorders>
                                    <w:bottom w:val="single" w:sz="4" w:space="0" w:color="7855FA"/>
                                  </w:tcBorders>
                                  <w:tcMar>
                                    <w:top w:w="0" w:type="dxa"/>
                                    <w:left w:w="0" w:type="dxa"/>
                                    <w:right w:w="0" w:type="dxa"/>
                                  </w:tcMar>
                                  <w:vAlign w:val="center"/>
                                </w:tcPr>
                                <w:p>
                                  <w:pPr>
                                    <w:pStyle w:val="TableContents"/>
                                    <w:bidi w:val="0"/>
                                    <w:spacing w:before="120" w:after="20"/>
                                    <w:jc w:val="left"/>
                                    <w:rPr/>
                                  </w:pPr>
                                  <w:r>
                                    <w:rPr/>
                                    <w:t> </w:t>
                                  </w:r>
                                </w:p>
                              </w:tc>
                              <w:tc>
                                <w:tcPr>
                                  <w:tcW w:w="1101" w:type="dxa"/>
                                  <w:tcBorders>
                                    <w:bottom w:val="single" w:sz="4" w:space="0" w:color="7855FA"/>
                                  </w:tcBorders>
                                  <w:tcMar>
                                    <w:top w:w="0" w:type="dxa"/>
                                    <w:left w:w="0" w:type="dxa"/>
                                    <w:right w:w="0" w:type="dxa"/>
                                  </w:tcMar>
                                  <w:vAlign w:val="center"/>
                                </w:tcPr>
                                <w:p>
                                  <w:pPr>
                                    <w:pStyle w:val="TableContents"/>
                                    <w:bidi w:val="0"/>
                                    <w:spacing w:before="120" w:after="20"/>
                                    <w:jc w:val="left"/>
                                    <w:rPr>
                                      <w:rFonts w:ascii="Montserrat;Montserrat Medium;sans-serif" w:hAnsi="Montserrat;Montserrat Medium;sans-serif"/>
                                      <w:b/>
                                      <w:color w:val="7855FA"/>
                                      <w:sz w:val="18"/>
                                    </w:rPr>
                                  </w:pPr>
                                  <w:r>
                                    <w:rPr>
                                      <w:rFonts w:ascii="Montserrat;Montserrat Medium;sans-serif" w:hAnsi="Montserrat;Montserrat Medium;sans-serif"/>
                                      <w:b/>
                                      <w:color w:val="7855FA"/>
                                      <w:sz w:val="18"/>
                                    </w:rPr>
                                    <w:t>For further</w:t>
                                    <w:br/>
                                    <w:t>details</w:t>
                                  </w:r>
                                </w:p>
                              </w:tc>
                            </w:tr>
                            <w:tr>
                              <w:trPr/>
                              <w:tc>
                                <w:tcPr>
                                  <w:tcW w:w="274" w:type="dxa"/>
                                  <w:tcBorders>
                                    <w:bottom w:val="single" w:sz="4" w:space="0" w:color="000000"/>
                                  </w:tcBorders>
                                  <w:tcMar>
                                    <w:top w:w="0" w:type="dxa"/>
                                    <w:left w:w="0" w:type="dxa"/>
                                    <w:right w:w="0" w:type="dxa"/>
                                  </w:tcMar>
                                  <w:vAlign w:val="center"/>
                                </w:tcPr>
                                <w:p>
                                  <w:pPr>
                                    <w:pStyle w:val="TableContents"/>
                                    <w:bidi w:val="0"/>
                                    <w:spacing w:before="60" w:after="40"/>
                                    <w:jc w:val="left"/>
                                    <w:rPr>
                                      <w:rFonts w:ascii="Montserrat;sans-serif" w:hAnsi="Montserrat;sans-serif"/>
                                      <w:color w:val="7855FA"/>
                                      <w:sz w:val="18"/>
                                    </w:rPr>
                                  </w:pPr>
                                  <w:r>
                                    <w:rPr>
                                      <w:rFonts w:ascii="Montserrat;sans-serif" w:hAnsi="Montserrat;sans-serif"/>
                                      <w:color w:val="7855FA"/>
                                      <w:sz w:val="18"/>
                                    </w:rPr>
                                    <w:t>1.</w:t>
                                  </w:r>
                                </w:p>
                              </w:tc>
                              <w:tc>
                                <w:tcPr>
                                  <w:tcW w:w="6692" w:type="dxa"/>
                                  <w:tcBorders>
                                    <w:bottom w:val="single" w:sz="2" w:space="0" w:color="000000"/>
                                  </w:tcBorders>
                                  <w:tcMar>
                                    <w:top w:w="0" w:type="dxa"/>
                                    <w:left w:w="0" w:type="dxa"/>
                                    <w:right w:w="0" w:type="dxa"/>
                                  </w:tcMar>
                                  <w:vAlign w:val="center"/>
                                </w:tcPr>
                                <w:p>
                                  <w:pPr>
                                    <w:pStyle w:val="TableContents"/>
                                    <w:bidi w:val="0"/>
                                    <w:spacing w:before="60" w:after="40"/>
                                    <w:jc w:val="left"/>
                                    <w:rPr>
                                      <w:rFonts w:ascii="Montserrat;sans-serif" w:hAnsi="Montserrat;sans-serif"/>
                                      <w:color w:val="000000"/>
                                      <w:sz w:val="18"/>
                                    </w:rPr>
                                  </w:pPr>
                                  <w:r>
                                    <w:rPr>
                                      <w:rFonts w:ascii="Montserrat;sans-serif" w:hAnsi="Montserrat;sans-serif"/>
                                      <w:color w:val="000000"/>
                                      <w:sz w:val="18"/>
                                    </w:rPr>
                                    <w:t>Election of Directors</w:t>
                                  </w:r>
                                </w:p>
                              </w:tc>
                              <w:tc>
                                <w:tcPr>
                                  <w:tcW w:w="146" w:type="dxa"/>
                                  <w:tcBorders>
                                    <w:bottom w:val="single" w:sz="2" w:space="0" w:color="000000"/>
                                  </w:tcBorders>
                                  <w:tcMar>
                                    <w:top w:w="0" w:type="dxa"/>
                                    <w:left w:w="0" w:type="dxa"/>
                                    <w:right w:w="0" w:type="dxa"/>
                                  </w:tcMar>
                                  <w:vAlign w:val="center"/>
                                </w:tcPr>
                                <w:p>
                                  <w:pPr>
                                    <w:pStyle w:val="TableContents"/>
                                    <w:bidi w:val="0"/>
                                    <w:spacing w:before="120" w:after="283"/>
                                    <w:jc w:val="left"/>
                                    <w:rPr/>
                                  </w:pPr>
                                  <w:r>
                                    <w:rPr/>
                                    <w:t> </w:t>
                                  </w:r>
                                </w:p>
                              </w:tc>
                              <w:tc>
                                <w:tcPr>
                                  <w:tcW w:w="738" w:type="dxa"/>
                                  <w:tcBorders>
                                    <w:bottom w:val="single" w:sz="2" w:space="0" w:color="000000"/>
                                  </w:tcBorders>
                                  <w:tcMar>
                                    <w:top w:w="0" w:type="dxa"/>
                                    <w:left w:w="0" w:type="dxa"/>
                                    <w:right w:w="0" w:type="dxa"/>
                                  </w:tcMar>
                                  <w:vAlign w:val="center"/>
                                </w:tcPr>
                                <w:p>
                                  <w:pPr>
                                    <w:pStyle w:val="TableContents"/>
                                    <w:bidi w:val="0"/>
                                    <w:spacing w:before="60" w:after="40"/>
                                    <w:jc w:val="left"/>
                                    <w:rPr/>
                                  </w:pPr>
                                  <w:r>
                                    <w:rPr/>
                                    <w:drawing>
                                      <wp:inline distT="0" distB="0" distL="0" distR="0">
                                        <wp:extent cx="161925" cy="161925"/>
                                        <wp:effectExtent l="0" t="0" r="0" b="0"/>
                                        <wp:docPr id="1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2" descr=""/>
                                                <pic:cNvPicPr>
                                                  <a:picLocks noChangeAspect="1" noChangeArrowheads="1"/>
                                                </pic:cNvPicPr>
                                              </pic:nvPicPr>
                                              <pic:blipFill>
                                                <a:blip r:embed="rId6"/>
                                                <a:stretch>
                                                  <a:fillRect/>
                                                </a:stretch>
                                              </pic:blipFill>
                                              <pic:spPr bwMode="auto">
                                                <a:xfrm>
                                                  <a:off x="0" y="0"/>
                                                  <a:ext cx="161925" cy="161925"/>
                                                </a:xfrm>
                                                <a:prstGeom prst="rect">
                                                  <a:avLst/>
                                                </a:prstGeom>
                                              </pic:spPr>
                                            </pic:pic>
                                          </a:graphicData>
                                        </a:graphic>
                                      </wp:inline>
                                    </w:drawing>
                                  </w:r>
                                </w:p>
                              </w:tc>
                              <w:tc>
                                <w:tcPr>
                                  <w:tcW w:w="1108" w:type="dxa"/>
                                  <w:tcBorders>
                                    <w:bottom w:val="single" w:sz="2" w:space="0" w:color="000000"/>
                                  </w:tcBorders>
                                  <w:tcMar>
                                    <w:top w:w="0" w:type="dxa"/>
                                    <w:left w:w="0" w:type="dxa"/>
                                    <w:right w:w="0" w:type="dxa"/>
                                  </w:tcMar>
                                  <w:vAlign w:val="center"/>
                                </w:tcPr>
                                <w:p>
                                  <w:pPr>
                                    <w:pStyle w:val="TableContents"/>
                                    <w:bidi w:val="0"/>
                                    <w:spacing w:before="60" w:after="40"/>
                                    <w:jc w:val="left"/>
                                    <w:rPr>
                                      <w:rFonts w:ascii="Montserrat;sans-serif" w:hAnsi="Montserrat;sans-serif"/>
                                      <w:b/>
                                      <w:color w:val="000000"/>
                                      <w:sz w:val="18"/>
                                    </w:rPr>
                                  </w:pPr>
                                  <w:r>
                                    <w:rPr>
                                      <w:rFonts w:ascii="Montserrat;sans-serif" w:hAnsi="Montserrat;sans-serif"/>
                                      <w:b/>
                                      <w:color w:val="000000"/>
                                      <w:sz w:val="18"/>
                                    </w:rPr>
                                    <w:t>FOR</w:t>
                                  </w:r>
                                </w:p>
                              </w:tc>
                              <w:tc>
                                <w:tcPr>
                                  <w:tcW w:w="146" w:type="dxa"/>
                                  <w:tcBorders>
                                    <w:bottom w:val="single" w:sz="2" w:space="0" w:color="000000"/>
                                  </w:tcBorders>
                                  <w:tcMar>
                                    <w:top w:w="0" w:type="dxa"/>
                                    <w:left w:w="0" w:type="dxa"/>
                                    <w:right w:w="0" w:type="dxa"/>
                                  </w:tcMar>
                                  <w:vAlign w:val="center"/>
                                </w:tcPr>
                                <w:p>
                                  <w:pPr>
                                    <w:pStyle w:val="TableContents"/>
                                    <w:bidi w:val="0"/>
                                    <w:spacing w:before="120" w:after="283"/>
                                    <w:jc w:val="left"/>
                                    <w:rPr/>
                                  </w:pPr>
                                  <w:r>
                                    <w:rPr/>
                                    <w:t> </w:t>
                                  </w:r>
                                </w:p>
                              </w:tc>
                              <w:tc>
                                <w:tcPr>
                                  <w:tcW w:w="1101" w:type="dxa"/>
                                  <w:tcBorders>
                                    <w:bottom w:val="single" w:sz="2" w:space="0" w:color="000000"/>
                                  </w:tcBorders>
                                  <w:tcMar>
                                    <w:top w:w="0" w:type="dxa"/>
                                    <w:left w:w="0" w:type="dxa"/>
                                    <w:right w:w="0" w:type="dxa"/>
                                  </w:tcMar>
                                  <w:vAlign w:val="center"/>
                                </w:tcPr>
                                <w:p>
                                  <w:pPr>
                                    <w:pStyle w:val="TableContents"/>
                                    <w:bidi w:val="0"/>
                                    <w:spacing w:before="60" w:after="40"/>
                                    <w:jc w:val="left"/>
                                    <w:rPr>
                                      <w:rFonts w:ascii="Montserrat;sans-serif" w:hAnsi="Montserrat;sans-serif"/>
                                      <w:color w:val="000000"/>
                                      <w:sz w:val="18"/>
                                    </w:rPr>
                                  </w:pPr>
                                  <w:r>
                                    <w:rPr>
                                      <w:rFonts w:ascii="Montserrat;sans-serif" w:hAnsi="Montserrat;sans-serif"/>
                                      <w:color w:val="000000"/>
                                      <w:sz w:val="18"/>
                                    </w:rPr>
                                    <w:t>Page 20</w:t>
                                  </w:r>
                                </w:p>
                              </w:tc>
                            </w:tr>
                            <w:tr>
                              <w:trPr/>
                              <w:tc>
                                <w:tcPr>
                                  <w:tcW w:w="274" w:type="dxa"/>
                                  <w:tcBorders>
                                    <w:bottom w:val="single" w:sz="2" w:space="0" w:color="000000"/>
                                  </w:tcBorders>
                                  <w:tcMar>
                                    <w:top w:w="0" w:type="dxa"/>
                                    <w:left w:w="0" w:type="dxa"/>
                                    <w:right w:w="0" w:type="dxa"/>
                                  </w:tcMar>
                                  <w:vAlign w:val="center"/>
                                </w:tcPr>
                                <w:p>
                                  <w:pPr>
                                    <w:pStyle w:val="TableContents"/>
                                    <w:bidi w:val="0"/>
                                    <w:spacing w:before="60" w:after="40"/>
                                    <w:jc w:val="left"/>
                                    <w:rPr>
                                      <w:rFonts w:ascii="Montserrat;sans-serif" w:hAnsi="Montserrat;sans-serif"/>
                                      <w:color w:val="7855FA"/>
                                      <w:sz w:val="18"/>
                                    </w:rPr>
                                  </w:pPr>
                                  <w:r>
                                    <w:rPr>
                                      <w:rFonts w:ascii="Montserrat;sans-serif" w:hAnsi="Montserrat;sans-serif"/>
                                      <w:color w:val="7855FA"/>
                                      <w:sz w:val="18"/>
                                    </w:rPr>
                                    <w:t>2.</w:t>
                                  </w:r>
                                </w:p>
                              </w:tc>
                              <w:tc>
                                <w:tcPr>
                                  <w:tcW w:w="6692" w:type="dxa"/>
                                  <w:tcBorders>
                                    <w:bottom w:val="single" w:sz="2" w:space="0" w:color="000000"/>
                                  </w:tcBorders>
                                  <w:tcMar>
                                    <w:top w:w="0" w:type="dxa"/>
                                    <w:left w:w="0" w:type="dxa"/>
                                    <w:right w:w="0" w:type="dxa"/>
                                  </w:tcMar>
                                  <w:vAlign w:val="center"/>
                                </w:tcPr>
                                <w:p>
                                  <w:pPr>
                                    <w:pStyle w:val="TableContents"/>
                                    <w:bidi w:val="0"/>
                                    <w:spacing w:before="60" w:after="40"/>
                                    <w:jc w:val="left"/>
                                    <w:rPr>
                                      <w:rFonts w:ascii="Montserrat;sans-serif" w:hAnsi="Montserrat;sans-serif"/>
                                      <w:color w:val="000000"/>
                                      <w:sz w:val="18"/>
                                    </w:rPr>
                                  </w:pPr>
                                  <w:r>
                                    <w:rPr>
                                      <w:rFonts w:ascii="Montserrat;sans-serif" w:hAnsi="Montserrat;sans-serif"/>
                                      <w:color w:val="000000"/>
                                      <w:sz w:val="18"/>
                                    </w:rPr>
                                    <w:t>Ratification of Selection of Deloitte &amp; Touche LLP as Independent Registered Public Accounting Firm for Fiscal Year 2027</w:t>
                                  </w:r>
                                </w:p>
                              </w:tc>
                              <w:tc>
                                <w:tcPr>
                                  <w:tcW w:w="146" w:type="dxa"/>
                                  <w:tcBorders>
                                    <w:bottom w:val="single" w:sz="2" w:space="0" w:color="000000"/>
                                  </w:tcBorders>
                                  <w:tcMar>
                                    <w:top w:w="0" w:type="dxa"/>
                                    <w:left w:w="0" w:type="dxa"/>
                                    <w:right w:w="0" w:type="dxa"/>
                                  </w:tcMar>
                                  <w:vAlign w:val="center"/>
                                </w:tcPr>
                                <w:p>
                                  <w:pPr>
                                    <w:pStyle w:val="TableContents"/>
                                    <w:bidi w:val="0"/>
                                    <w:spacing w:before="120" w:after="283"/>
                                    <w:jc w:val="left"/>
                                    <w:rPr/>
                                  </w:pPr>
                                  <w:r>
                                    <w:rPr/>
                                    <w:t> </w:t>
                                  </w:r>
                                </w:p>
                              </w:tc>
                              <w:tc>
                                <w:tcPr>
                                  <w:tcW w:w="738" w:type="dxa"/>
                                  <w:tcBorders>
                                    <w:bottom w:val="single" w:sz="2" w:space="0" w:color="000000"/>
                                  </w:tcBorders>
                                  <w:tcMar>
                                    <w:top w:w="0" w:type="dxa"/>
                                    <w:left w:w="0" w:type="dxa"/>
                                    <w:right w:w="0" w:type="dxa"/>
                                  </w:tcMar>
                                  <w:vAlign w:val="center"/>
                                </w:tcPr>
                                <w:p>
                                  <w:pPr>
                                    <w:pStyle w:val="TableContents"/>
                                    <w:bidi w:val="0"/>
                                    <w:spacing w:before="60" w:after="40"/>
                                    <w:jc w:val="left"/>
                                    <w:rPr/>
                                  </w:pPr>
                                  <w:r>
                                    <w:rPr/>
                                    <w:drawing>
                                      <wp:inline distT="0" distB="0" distL="0" distR="0">
                                        <wp:extent cx="161925" cy="161925"/>
                                        <wp:effectExtent l="0" t="0" r="0" b="0"/>
                                        <wp:docPr id="1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23" descr=""/>
                                                <pic:cNvPicPr>
                                                  <a:picLocks noChangeAspect="1" noChangeArrowheads="1"/>
                                                </pic:cNvPicPr>
                                              </pic:nvPicPr>
                                              <pic:blipFill>
                                                <a:blip r:embed="rId7"/>
                                                <a:stretch>
                                                  <a:fillRect/>
                                                </a:stretch>
                                              </pic:blipFill>
                                              <pic:spPr bwMode="auto">
                                                <a:xfrm>
                                                  <a:off x="0" y="0"/>
                                                  <a:ext cx="161925" cy="161925"/>
                                                </a:xfrm>
                                                <a:prstGeom prst="rect">
                                                  <a:avLst/>
                                                </a:prstGeom>
                                              </pic:spPr>
                                            </pic:pic>
                                          </a:graphicData>
                                        </a:graphic>
                                      </wp:inline>
                                    </w:drawing>
                                  </w:r>
                                </w:p>
                              </w:tc>
                              <w:tc>
                                <w:tcPr>
                                  <w:tcW w:w="1108" w:type="dxa"/>
                                  <w:tcBorders>
                                    <w:bottom w:val="single" w:sz="2" w:space="0" w:color="000000"/>
                                  </w:tcBorders>
                                  <w:tcMar>
                                    <w:top w:w="0" w:type="dxa"/>
                                    <w:left w:w="0" w:type="dxa"/>
                                    <w:right w:w="0" w:type="dxa"/>
                                  </w:tcMar>
                                  <w:vAlign w:val="center"/>
                                </w:tcPr>
                                <w:p>
                                  <w:pPr>
                                    <w:pStyle w:val="TableContents"/>
                                    <w:bidi w:val="0"/>
                                    <w:spacing w:before="60" w:after="40"/>
                                    <w:jc w:val="left"/>
                                    <w:rPr>
                                      <w:rFonts w:ascii="Montserrat;sans-serif" w:hAnsi="Montserrat;sans-serif"/>
                                      <w:b/>
                                      <w:color w:val="000000"/>
                                      <w:sz w:val="18"/>
                                    </w:rPr>
                                  </w:pPr>
                                  <w:r>
                                    <w:rPr>
                                      <w:rFonts w:ascii="Montserrat;sans-serif" w:hAnsi="Montserrat;sans-serif"/>
                                      <w:b/>
                                      <w:color w:val="000000"/>
                                      <w:sz w:val="18"/>
                                    </w:rPr>
                                    <w:t>FOR</w:t>
                                  </w:r>
                                </w:p>
                              </w:tc>
                              <w:tc>
                                <w:tcPr>
                                  <w:tcW w:w="146" w:type="dxa"/>
                                  <w:tcBorders>
                                    <w:bottom w:val="single" w:sz="2" w:space="0" w:color="000000"/>
                                  </w:tcBorders>
                                  <w:tcMar>
                                    <w:top w:w="0" w:type="dxa"/>
                                    <w:left w:w="0" w:type="dxa"/>
                                    <w:right w:w="0" w:type="dxa"/>
                                  </w:tcMar>
                                  <w:vAlign w:val="center"/>
                                </w:tcPr>
                                <w:p>
                                  <w:pPr>
                                    <w:pStyle w:val="TableContents"/>
                                    <w:bidi w:val="0"/>
                                    <w:spacing w:before="120" w:after="283"/>
                                    <w:jc w:val="left"/>
                                    <w:rPr/>
                                  </w:pPr>
                                  <w:r>
                                    <w:rPr/>
                                    <w:t> </w:t>
                                  </w:r>
                                </w:p>
                              </w:tc>
                              <w:tc>
                                <w:tcPr>
                                  <w:tcW w:w="1101" w:type="dxa"/>
                                  <w:tcBorders>
                                    <w:bottom w:val="single" w:sz="2" w:space="0" w:color="000000"/>
                                  </w:tcBorders>
                                  <w:tcMar>
                                    <w:top w:w="0" w:type="dxa"/>
                                    <w:left w:w="0" w:type="dxa"/>
                                    <w:right w:w="0" w:type="dxa"/>
                                  </w:tcMar>
                                  <w:vAlign w:val="center"/>
                                </w:tcPr>
                                <w:p>
                                  <w:pPr>
                                    <w:pStyle w:val="TableContents"/>
                                    <w:bidi w:val="0"/>
                                    <w:spacing w:before="60" w:after="40"/>
                                    <w:jc w:val="left"/>
                                    <w:rPr>
                                      <w:rFonts w:ascii="Montserrat;sans-serif" w:hAnsi="Montserrat;sans-serif"/>
                                      <w:color w:val="000000"/>
                                      <w:sz w:val="18"/>
                                    </w:rPr>
                                  </w:pPr>
                                  <w:r>
                                    <w:rPr>
                                      <w:rFonts w:ascii="Montserrat;sans-serif" w:hAnsi="Montserrat;sans-serif"/>
                                      <w:color w:val="000000"/>
                                      <w:sz w:val="18"/>
                                    </w:rPr>
                                    <w:t>Page 34</w:t>
                                  </w:r>
                                </w:p>
                              </w:tc>
                            </w:tr>
                            <w:tr>
                              <w:trPr/>
                              <w:tc>
                                <w:tcPr>
                                  <w:tcW w:w="274" w:type="dxa"/>
                                  <w:tcBorders>
                                    <w:bottom w:val="single" w:sz="2" w:space="0" w:color="000000"/>
                                  </w:tcBorders>
                                  <w:tcMar>
                                    <w:top w:w="0" w:type="dxa"/>
                                    <w:left w:w="0" w:type="dxa"/>
                                    <w:right w:w="0" w:type="dxa"/>
                                  </w:tcMar>
                                  <w:vAlign w:val="center"/>
                                </w:tcPr>
                                <w:p>
                                  <w:pPr>
                                    <w:pStyle w:val="TableContents"/>
                                    <w:bidi w:val="0"/>
                                    <w:spacing w:before="60" w:after="40"/>
                                    <w:jc w:val="left"/>
                                    <w:rPr>
                                      <w:rFonts w:ascii="Montserrat;sans-serif" w:hAnsi="Montserrat;sans-serif"/>
                                      <w:color w:val="7855FA"/>
                                      <w:sz w:val="18"/>
                                    </w:rPr>
                                  </w:pPr>
                                  <w:r>
                                    <w:rPr>
                                      <w:rFonts w:ascii="Montserrat;sans-serif" w:hAnsi="Montserrat;sans-serif"/>
                                      <w:color w:val="7855FA"/>
                                      <w:sz w:val="18"/>
                                    </w:rPr>
                                    <w:t>3.</w:t>
                                  </w:r>
                                </w:p>
                              </w:tc>
                              <w:tc>
                                <w:tcPr>
                                  <w:tcW w:w="6692" w:type="dxa"/>
                                  <w:tcBorders>
                                    <w:bottom w:val="single" w:sz="2" w:space="0" w:color="000000"/>
                                  </w:tcBorders>
                                  <w:tcMar>
                                    <w:top w:w="0" w:type="dxa"/>
                                    <w:left w:w="0" w:type="dxa"/>
                                    <w:right w:w="0" w:type="dxa"/>
                                  </w:tcMar>
                                  <w:vAlign w:val="center"/>
                                </w:tcPr>
                                <w:p>
                                  <w:pPr>
                                    <w:pStyle w:val="TableContents"/>
                                    <w:bidi w:val="0"/>
                                    <w:spacing w:before="60" w:after="40"/>
                                    <w:jc w:val="left"/>
                                    <w:rPr>
                                      <w:rFonts w:ascii="Montserrat;sans-serif" w:hAnsi="Montserrat;sans-serif"/>
                                      <w:color w:val="000000"/>
                                      <w:sz w:val="18"/>
                                    </w:rPr>
                                  </w:pPr>
                                  <w:r>
                                    <w:rPr>
                                      <w:rFonts w:ascii="Montserrat;sans-serif" w:hAnsi="Montserrat;sans-serif"/>
                                      <w:color w:val="000000"/>
                                      <w:sz w:val="18"/>
                                    </w:rPr>
                                    <w:t>Advisory Vote to Approve the Compensation of our Named Executive Officers</w:t>
                                  </w:r>
                                </w:p>
                              </w:tc>
                              <w:tc>
                                <w:tcPr>
                                  <w:tcW w:w="146" w:type="dxa"/>
                                  <w:tcBorders>
                                    <w:bottom w:val="single" w:sz="2" w:space="0" w:color="000000"/>
                                  </w:tcBorders>
                                  <w:tcMar>
                                    <w:top w:w="0" w:type="dxa"/>
                                    <w:left w:w="0" w:type="dxa"/>
                                    <w:right w:w="0" w:type="dxa"/>
                                  </w:tcMar>
                                  <w:vAlign w:val="center"/>
                                </w:tcPr>
                                <w:p>
                                  <w:pPr>
                                    <w:pStyle w:val="TableContents"/>
                                    <w:bidi w:val="0"/>
                                    <w:spacing w:before="120" w:after="283"/>
                                    <w:jc w:val="left"/>
                                    <w:rPr/>
                                  </w:pPr>
                                  <w:r>
                                    <w:rPr/>
                                    <w:t> </w:t>
                                  </w:r>
                                </w:p>
                              </w:tc>
                              <w:tc>
                                <w:tcPr>
                                  <w:tcW w:w="738" w:type="dxa"/>
                                  <w:tcBorders>
                                    <w:bottom w:val="single" w:sz="2" w:space="0" w:color="000000"/>
                                  </w:tcBorders>
                                  <w:tcMar>
                                    <w:top w:w="0" w:type="dxa"/>
                                    <w:left w:w="0" w:type="dxa"/>
                                    <w:right w:w="0" w:type="dxa"/>
                                  </w:tcMar>
                                  <w:vAlign w:val="center"/>
                                </w:tcPr>
                                <w:p>
                                  <w:pPr>
                                    <w:pStyle w:val="TableContents"/>
                                    <w:bidi w:val="0"/>
                                    <w:spacing w:before="60" w:after="40"/>
                                    <w:jc w:val="left"/>
                                    <w:rPr/>
                                  </w:pPr>
                                  <w:r>
                                    <w:rPr/>
                                    <w:drawing>
                                      <wp:inline distT="0" distB="0" distL="0" distR="0">
                                        <wp:extent cx="161925" cy="161925"/>
                                        <wp:effectExtent l="0" t="0" r="0" b="0"/>
                                        <wp:docPr id="1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4" descr=""/>
                                                <pic:cNvPicPr>
                                                  <a:picLocks noChangeAspect="1" noChangeArrowheads="1"/>
                                                </pic:cNvPicPr>
                                              </pic:nvPicPr>
                                              <pic:blipFill>
                                                <a:blip r:embed="rId8"/>
                                                <a:stretch>
                                                  <a:fillRect/>
                                                </a:stretch>
                                              </pic:blipFill>
                                              <pic:spPr bwMode="auto">
                                                <a:xfrm>
                                                  <a:off x="0" y="0"/>
                                                  <a:ext cx="161925" cy="161925"/>
                                                </a:xfrm>
                                                <a:prstGeom prst="rect">
                                                  <a:avLst/>
                                                </a:prstGeom>
                                              </pic:spPr>
                                            </pic:pic>
                                          </a:graphicData>
                                        </a:graphic>
                                      </wp:inline>
                                    </w:drawing>
                                  </w:r>
                                </w:p>
                              </w:tc>
                              <w:tc>
                                <w:tcPr>
                                  <w:tcW w:w="1108" w:type="dxa"/>
                                  <w:tcBorders>
                                    <w:bottom w:val="single" w:sz="2" w:space="0" w:color="000000"/>
                                  </w:tcBorders>
                                  <w:tcMar>
                                    <w:top w:w="0" w:type="dxa"/>
                                    <w:left w:w="0" w:type="dxa"/>
                                    <w:right w:w="0" w:type="dxa"/>
                                  </w:tcMar>
                                  <w:vAlign w:val="center"/>
                                </w:tcPr>
                                <w:p>
                                  <w:pPr>
                                    <w:pStyle w:val="TableContents"/>
                                    <w:bidi w:val="0"/>
                                    <w:spacing w:before="60" w:after="40"/>
                                    <w:jc w:val="left"/>
                                    <w:rPr>
                                      <w:rFonts w:ascii="Montserrat;sans-serif" w:hAnsi="Montserrat;sans-serif"/>
                                      <w:b/>
                                      <w:color w:val="000000"/>
                                      <w:sz w:val="18"/>
                                    </w:rPr>
                                  </w:pPr>
                                  <w:r>
                                    <w:rPr>
                                      <w:rFonts w:ascii="Montserrat;sans-serif" w:hAnsi="Montserrat;sans-serif"/>
                                      <w:b/>
                                      <w:color w:val="000000"/>
                                      <w:sz w:val="18"/>
                                    </w:rPr>
                                    <w:t>FOR</w:t>
                                  </w:r>
                                </w:p>
                              </w:tc>
                              <w:tc>
                                <w:tcPr>
                                  <w:tcW w:w="146" w:type="dxa"/>
                                  <w:tcBorders>
                                    <w:bottom w:val="single" w:sz="2" w:space="0" w:color="000000"/>
                                  </w:tcBorders>
                                  <w:tcMar>
                                    <w:top w:w="0" w:type="dxa"/>
                                    <w:left w:w="0" w:type="dxa"/>
                                    <w:right w:w="0" w:type="dxa"/>
                                  </w:tcMar>
                                  <w:vAlign w:val="center"/>
                                </w:tcPr>
                                <w:p>
                                  <w:pPr>
                                    <w:pStyle w:val="TableContents"/>
                                    <w:bidi w:val="0"/>
                                    <w:spacing w:before="120" w:after="283"/>
                                    <w:jc w:val="left"/>
                                    <w:rPr/>
                                  </w:pPr>
                                  <w:r>
                                    <w:rPr/>
                                    <w:t> </w:t>
                                  </w:r>
                                </w:p>
                              </w:tc>
                              <w:tc>
                                <w:tcPr>
                                  <w:tcW w:w="1101" w:type="dxa"/>
                                  <w:tcBorders>
                                    <w:bottom w:val="single" w:sz="2" w:space="0" w:color="000000"/>
                                  </w:tcBorders>
                                  <w:tcMar>
                                    <w:top w:w="0" w:type="dxa"/>
                                    <w:left w:w="0" w:type="dxa"/>
                                    <w:right w:w="0" w:type="dxa"/>
                                  </w:tcMar>
                                  <w:vAlign w:val="center"/>
                                </w:tcPr>
                                <w:p>
                                  <w:pPr>
                                    <w:pStyle w:val="TableContents"/>
                                    <w:bidi w:val="0"/>
                                    <w:spacing w:before="60" w:after="40"/>
                                    <w:jc w:val="left"/>
                                    <w:rPr>
                                      <w:rFonts w:ascii="Montserrat;sans-serif" w:hAnsi="Montserrat;sans-serif"/>
                                      <w:color w:val="000000"/>
                                      <w:sz w:val="18"/>
                                    </w:rPr>
                                  </w:pPr>
                                  <w:r>
                                    <w:rPr>
                                      <w:rFonts w:ascii="Montserrat;sans-serif" w:hAnsi="Montserrat;sans-serif"/>
                                      <w:color w:val="000000"/>
                                      <w:sz w:val="18"/>
                                    </w:rPr>
                                    <w:t>Page 38</w:t>
                                  </w:r>
                                </w:p>
                              </w:tc>
                            </w:tr>
                            <w:tr>
                              <w:trPr/>
                              <w:tc>
                                <w:tcPr>
                                  <w:tcW w:w="274" w:type="dxa"/>
                                  <w:tcBorders>
                                    <w:bottom w:val="single" w:sz="4" w:space="0" w:color="7855FA"/>
                                  </w:tcBorders>
                                  <w:tcMar>
                                    <w:top w:w="0" w:type="dxa"/>
                                    <w:left w:w="0" w:type="dxa"/>
                                    <w:right w:w="0" w:type="dxa"/>
                                  </w:tcMar>
                                  <w:vAlign w:val="center"/>
                                </w:tcPr>
                                <w:p>
                                  <w:pPr>
                                    <w:pStyle w:val="TableContents"/>
                                    <w:bidi w:val="0"/>
                                    <w:spacing w:before="60" w:after="40"/>
                                    <w:jc w:val="left"/>
                                    <w:rPr>
                                      <w:rFonts w:ascii="Montserrat;sans-serif" w:hAnsi="Montserrat;sans-serif"/>
                                      <w:color w:val="7855FA"/>
                                      <w:sz w:val="18"/>
                                    </w:rPr>
                                  </w:pPr>
                                  <w:r>
                                    <w:rPr>
                                      <w:rFonts w:ascii="Montserrat;sans-serif" w:hAnsi="Montserrat;sans-serif"/>
                                      <w:color w:val="7855FA"/>
                                      <w:sz w:val="18"/>
                                    </w:rPr>
                                    <w:t>4.</w:t>
                                  </w:r>
                                </w:p>
                              </w:tc>
                              <w:tc>
                                <w:tcPr>
                                  <w:tcW w:w="6692" w:type="dxa"/>
                                  <w:tcBorders>
                                    <w:bottom w:val="single" w:sz="4" w:space="0" w:color="7855FA"/>
                                  </w:tcBorders>
                                  <w:tcMar>
                                    <w:top w:w="0" w:type="dxa"/>
                                    <w:left w:w="0" w:type="dxa"/>
                                    <w:right w:w="0" w:type="dxa"/>
                                  </w:tcMar>
                                  <w:vAlign w:val="center"/>
                                </w:tcPr>
                                <w:p>
                                  <w:pPr>
                                    <w:pStyle w:val="TableContents"/>
                                    <w:bidi w:val="0"/>
                                    <w:spacing w:before="60" w:after="40"/>
                                    <w:jc w:val="left"/>
                                    <w:rPr>
                                      <w:rFonts w:ascii="Montserrat;sans-serif" w:hAnsi="Montserrat;sans-serif"/>
                                      <w:color w:val="000000"/>
                                      <w:sz w:val="18"/>
                                    </w:rPr>
                                  </w:pPr>
                                  <w:r>
                                    <w:rPr>
                                      <w:rFonts w:ascii="Montserrat;sans-serif" w:hAnsi="Montserrat;sans-serif"/>
                                      <w:color w:val="000000"/>
                                      <w:sz w:val="18"/>
                                    </w:rPr>
                                    <w:t>Approval of an Amendment to the Amended and Restated 2016 Equity Incentive Plan to Increase the Share Reserve</w:t>
                                  </w:r>
                                </w:p>
                              </w:tc>
                              <w:tc>
                                <w:tcPr>
                                  <w:tcW w:w="146" w:type="dxa"/>
                                  <w:tcBorders>
                                    <w:bottom w:val="single" w:sz="4" w:space="0" w:color="7855FA"/>
                                  </w:tcBorders>
                                  <w:tcMar>
                                    <w:top w:w="0" w:type="dxa"/>
                                    <w:left w:w="0" w:type="dxa"/>
                                    <w:right w:w="0" w:type="dxa"/>
                                  </w:tcMar>
                                  <w:vAlign w:val="center"/>
                                </w:tcPr>
                                <w:p>
                                  <w:pPr>
                                    <w:pStyle w:val="TableContents"/>
                                    <w:bidi w:val="0"/>
                                    <w:spacing w:before="120" w:after="283"/>
                                    <w:jc w:val="left"/>
                                    <w:rPr/>
                                  </w:pPr>
                                  <w:r>
                                    <w:rPr/>
                                    <w:t> </w:t>
                                  </w:r>
                                </w:p>
                              </w:tc>
                              <w:tc>
                                <w:tcPr>
                                  <w:tcW w:w="738" w:type="dxa"/>
                                  <w:tcBorders>
                                    <w:bottom w:val="single" w:sz="4" w:space="0" w:color="7855FA"/>
                                  </w:tcBorders>
                                  <w:tcMar>
                                    <w:top w:w="0" w:type="dxa"/>
                                    <w:left w:w="0" w:type="dxa"/>
                                    <w:right w:w="0" w:type="dxa"/>
                                  </w:tcMar>
                                  <w:vAlign w:val="center"/>
                                </w:tcPr>
                                <w:p>
                                  <w:pPr>
                                    <w:pStyle w:val="TableContents"/>
                                    <w:bidi w:val="0"/>
                                    <w:spacing w:before="60" w:after="40"/>
                                    <w:jc w:val="left"/>
                                    <w:rPr/>
                                  </w:pPr>
                                  <w:r>
                                    <w:rPr/>
                                    <w:drawing>
                                      <wp:inline distT="0" distB="0" distL="0" distR="0">
                                        <wp:extent cx="161925" cy="161925"/>
                                        <wp:effectExtent l="0" t="0" r="0" b="0"/>
                                        <wp:docPr id="1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5" descr=""/>
                                                <pic:cNvPicPr>
                                                  <a:picLocks noChangeAspect="1" noChangeArrowheads="1"/>
                                                </pic:cNvPicPr>
                                              </pic:nvPicPr>
                                              <pic:blipFill>
                                                <a:blip r:embed="rId9"/>
                                                <a:stretch>
                                                  <a:fillRect/>
                                                </a:stretch>
                                              </pic:blipFill>
                                              <pic:spPr bwMode="auto">
                                                <a:xfrm>
                                                  <a:off x="0" y="0"/>
                                                  <a:ext cx="161925" cy="161925"/>
                                                </a:xfrm>
                                                <a:prstGeom prst="rect">
                                                  <a:avLst/>
                                                </a:prstGeom>
                                              </pic:spPr>
                                            </pic:pic>
                                          </a:graphicData>
                                        </a:graphic>
                                      </wp:inline>
                                    </w:drawing>
                                  </w:r>
                                </w:p>
                              </w:tc>
                              <w:tc>
                                <w:tcPr>
                                  <w:tcW w:w="1108" w:type="dxa"/>
                                  <w:tcBorders>
                                    <w:bottom w:val="single" w:sz="4" w:space="0" w:color="7855FA"/>
                                  </w:tcBorders>
                                  <w:tcMar>
                                    <w:top w:w="0" w:type="dxa"/>
                                    <w:left w:w="0" w:type="dxa"/>
                                    <w:right w:w="0" w:type="dxa"/>
                                  </w:tcMar>
                                  <w:vAlign w:val="center"/>
                                </w:tcPr>
                                <w:p>
                                  <w:pPr>
                                    <w:pStyle w:val="TableContents"/>
                                    <w:bidi w:val="0"/>
                                    <w:spacing w:before="60" w:after="40"/>
                                    <w:jc w:val="left"/>
                                    <w:rPr>
                                      <w:rFonts w:ascii="Montserrat;sans-serif" w:hAnsi="Montserrat;sans-serif"/>
                                      <w:b/>
                                      <w:color w:val="000000"/>
                                      <w:sz w:val="18"/>
                                    </w:rPr>
                                  </w:pPr>
                                  <w:r>
                                    <w:rPr>
                                      <w:rFonts w:ascii="Montserrat;sans-serif" w:hAnsi="Montserrat;sans-serif"/>
                                      <w:b/>
                                      <w:color w:val="000000"/>
                                      <w:sz w:val="18"/>
                                    </w:rPr>
                                    <w:t>FOR</w:t>
                                  </w:r>
                                </w:p>
                              </w:tc>
                              <w:tc>
                                <w:tcPr>
                                  <w:tcW w:w="146" w:type="dxa"/>
                                  <w:tcBorders>
                                    <w:bottom w:val="single" w:sz="4" w:space="0" w:color="7855FA"/>
                                  </w:tcBorders>
                                  <w:tcMar>
                                    <w:top w:w="0" w:type="dxa"/>
                                    <w:left w:w="0" w:type="dxa"/>
                                    <w:right w:w="0" w:type="dxa"/>
                                  </w:tcMar>
                                  <w:vAlign w:val="center"/>
                                </w:tcPr>
                                <w:p>
                                  <w:pPr>
                                    <w:pStyle w:val="TableContents"/>
                                    <w:bidi w:val="0"/>
                                    <w:spacing w:before="120" w:after="283"/>
                                    <w:jc w:val="left"/>
                                    <w:rPr/>
                                  </w:pPr>
                                  <w:r>
                                    <w:rPr/>
                                    <w:t> </w:t>
                                  </w:r>
                                </w:p>
                              </w:tc>
                              <w:tc>
                                <w:tcPr>
                                  <w:tcW w:w="1101" w:type="dxa"/>
                                  <w:tcBorders>
                                    <w:bottom w:val="single" w:sz="4" w:space="0" w:color="7855FA"/>
                                  </w:tcBorders>
                                  <w:tcMar>
                                    <w:top w:w="0" w:type="dxa"/>
                                    <w:left w:w="0" w:type="dxa"/>
                                    <w:right w:w="0" w:type="dxa"/>
                                  </w:tcMar>
                                  <w:vAlign w:val="center"/>
                                </w:tcPr>
                                <w:p>
                                  <w:pPr>
                                    <w:pStyle w:val="TableContents"/>
                                    <w:bidi w:val="0"/>
                                    <w:spacing w:before="60" w:after="40"/>
                                    <w:jc w:val="left"/>
                                    <w:rPr>
                                      <w:rFonts w:ascii="Montserrat;sans-serif" w:hAnsi="Montserrat;sans-serif"/>
                                      <w:color w:val="000000"/>
                                      <w:sz w:val="18"/>
                                    </w:rPr>
                                  </w:pPr>
                                  <w:r>
                                    <w:rPr>
                                      <w:rFonts w:ascii="Montserrat;sans-serif" w:hAnsi="Montserrat;sans-serif"/>
                                      <w:color w:val="000000"/>
                                      <w:sz w:val="18"/>
                                    </w:rPr>
                                    <w:t>Page 74</w:t>
                                  </w:r>
                                </w:p>
                              </w:tc>
                            </w:tr>
                          </w:tbl>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We are also holding the Annual Meeting to conduct any other business properly brought before the meeting.</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These items of business are more fully described in the proxy statement accompanying this Notice of 2026 Annual Meeting of Stockholders.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record date for the Annual Meeting is October 13, 2026. Only stockholders of record of our Class A common stock at the close of business on the record date may vote at the Annual Meeting.</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On or about October 20, 2026, we mailed to our stockholders a Notice of Internet Availability of Proxy Materials (the “Notice”) containing instructions on how to access our proxy statement and annual report. The Notice provides instructions on how to vote via the Internet or by telephone and includes instructions on how to receive a paper copy of our proxy materials by mail. The accompanying proxy statement and our annual report can be accessed directly at the following Internet address: www.proxyvote.com. You will be asked to enter the sixteen-digit control number located on your notice or proxy card.</w:t>
                            </w:r>
                          </w:p>
                        </w:txbxContent>
                      </wps:txbx>
                      <wps:bodyPr anchor="t" lIns="0" tIns="0" rIns="0" bIns="0">
                        <a:noAutofit/>
                      </wps:bodyPr>
                    </wps:wsp>
                  </a:graphicData>
                </a:graphic>
              </wp:anchor>
            </w:drawing>
          </mc:Choice>
          <mc:Fallback>
            <w:pict>
              <v:rect style="position:absolute;rotation:-0;width:308.3pt;height:602.45pt;mso-wrap-distance-left:0pt;mso-wrap-distance-right:0pt;mso-wrap-distance-top:0pt;mso-wrap-distance-bottom:0pt;margin-top:202.5pt;mso-position-vertical-relative:page;margin-left:36pt;mso-position-horizontal-relative:page">
                <v:textbox inset="0in,0in,0in,0in">
                  <w:txbxContent>
                    <w:p>
                      <w:pPr>
                        <w:pStyle w:val="TextBody"/>
                        <w:bidi w:val="0"/>
                        <w:spacing w:before="120" w:after="283"/>
                        <w:jc w:val="both"/>
                        <w:rPr>
                          <w:rFonts w:ascii="Montserrat;sans-serif" w:hAnsi="Montserrat;sans-serif"/>
                          <w:b/>
                          <w:color w:val="000000"/>
                          <w:sz w:val="18"/>
                        </w:rPr>
                      </w:pPr>
                      <w:r>
                        <w:rPr>
                          <w:rFonts w:ascii="Montserrat;sans-serif" w:hAnsi="Montserrat;sans-serif"/>
                          <w:b/>
                          <w:color w:val="000000"/>
                          <w:sz w:val="18"/>
                        </w:rPr>
                        <w:t>To the Stockholders of Nutanix, Inc.:</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On behalf of our Board of Directors, it is our pleasure to invite you to attend the 2026 annual meeting of stockholders (including any adjournment or postponement thereof, the “Annual Meeting”) of Nutanix, Inc. The Annual Meeting will be held virtually via live webcast at www.virtualshareholdermeeting.com/NTNX2026 on Friday, December 11, 2026, at 9:00 a.m., Pacific Time.</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We are holding the Annual Meeting for the following purposes:</w:t>
                      </w:r>
                    </w:p>
                    <w:tbl>
                      <w:tblPr>
                        <w:tblW w:w="10205" w:type="dxa"/>
                        <w:jc w:val="left"/>
                        <w:tblInd w:w="0" w:type="dxa"/>
                        <w:tblLayout w:type="fixed"/>
                        <w:tblCellMar>
                          <w:top w:w="28" w:type="dxa"/>
                          <w:left w:w="28" w:type="dxa"/>
                          <w:bottom w:w="28" w:type="dxa"/>
                          <w:right w:w="28" w:type="dxa"/>
                        </w:tblCellMar>
                      </w:tblPr>
                      <w:tblGrid>
                        <w:gridCol w:w="274"/>
                        <w:gridCol w:w="6692"/>
                        <w:gridCol w:w="146"/>
                        <w:gridCol w:w="738"/>
                        <w:gridCol w:w="1108"/>
                        <w:gridCol w:w="146"/>
                        <w:gridCol w:w="1101"/>
                      </w:tblGrid>
                      <w:tr>
                        <w:trPr/>
                        <w:tc>
                          <w:tcPr>
                            <w:tcW w:w="274" w:type="dxa"/>
                            <w:tcBorders/>
                            <w:vAlign w:val="center"/>
                          </w:tcPr>
                          <w:p>
                            <w:pPr>
                              <w:pStyle w:val="TableContents"/>
                              <w:bidi w:val="0"/>
                              <w:spacing w:before="0" w:after="283"/>
                              <w:jc w:val="left"/>
                              <w:rPr>
                                <w:sz w:val="4"/>
                                <w:szCs w:val="4"/>
                              </w:rPr>
                            </w:pPr>
                            <w:r>
                              <w:rPr>
                                <w:sz w:val="4"/>
                                <w:szCs w:val="4"/>
                              </w:rPr>
                            </w:r>
                          </w:p>
                        </w:tc>
                        <w:tc>
                          <w:tcPr>
                            <w:tcW w:w="66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r>
                      <w:tr>
                        <w:trPr/>
                        <w:tc>
                          <w:tcPr>
                            <w:tcW w:w="6966" w:type="dxa"/>
                            <w:gridSpan w:val="2"/>
                            <w:tcBorders>
                              <w:bottom w:val="single" w:sz="4" w:space="0" w:color="7855FA"/>
                            </w:tcBorders>
                            <w:tcMar>
                              <w:top w:w="0" w:type="dxa"/>
                              <w:left w:w="0" w:type="dxa"/>
                              <w:right w:w="0" w:type="dxa"/>
                            </w:tcMar>
                            <w:vAlign w:val="center"/>
                          </w:tcPr>
                          <w:p>
                            <w:pPr>
                              <w:pStyle w:val="TableContents"/>
                              <w:bidi w:val="0"/>
                              <w:spacing w:before="120" w:after="20"/>
                              <w:jc w:val="left"/>
                              <w:rPr>
                                <w:rFonts w:ascii="Montserrat;Montserrat Medium;sans-serif" w:hAnsi="Montserrat;Montserrat Medium;sans-serif"/>
                                <w:b/>
                                <w:color w:val="7855FA"/>
                                <w:sz w:val="18"/>
                              </w:rPr>
                            </w:pPr>
                            <w:r>
                              <w:rPr>
                                <w:rFonts w:ascii="Montserrat;Montserrat Medium;sans-serif" w:hAnsi="Montserrat;Montserrat Medium;sans-serif"/>
                                <w:b/>
                                <w:color w:val="7855FA"/>
                                <w:sz w:val="18"/>
                              </w:rPr>
                              <w:t>Proposals</w:t>
                            </w:r>
                          </w:p>
                        </w:tc>
                        <w:tc>
                          <w:tcPr>
                            <w:tcW w:w="146" w:type="dxa"/>
                            <w:tcBorders>
                              <w:bottom w:val="single" w:sz="4" w:space="0" w:color="7855FA"/>
                            </w:tcBorders>
                            <w:tcMar>
                              <w:top w:w="0" w:type="dxa"/>
                              <w:left w:w="0" w:type="dxa"/>
                              <w:right w:w="0" w:type="dxa"/>
                            </w:tcMar>
                            <w:vAlign w:val="center"/>
                          </w:tcPr>
                          <w:p>
                            <w:pPr>
                              <w:pStyle w:val="TableContents"/>
                              <w:bidi w:val="0"/>
                              <w:spacing w:before="120" w:after="20"/>
                              <w:jc w:val="left"/>
                              <w:rPr/>
                            </w:pPr>
                            <w:r>
                              <w:rPr/>
                              <w:t> </w:t>
                            </w:r>
                          </w:p>
                        </w:tc>
                        <w:tc>
                          <w:tcPr>
                            <w:tcW w:w="1846" w:type="dxa"/>
                            <w:gridSpan w:val="2"/>
                            <w:tcBorders>
                              <w:bottom w:val="single" w:sz="4" w:space="0" w:color="7855FA"/>
                            </w:tcBorders>
                            <w:tcMar>
                              <w:top w:w="0" w:type="dxa"/>
                              <w:left w:w="0" w:type="dxa"/>
                              <w:right w:w="0" w:type="dxa"/>
                            </w:tcMar>
                            <w:vAlign w:val="center"/>
                          </w:tcPr>
                          <w:p>
                            <w:pPr>
                              <w:pStyle w:val="TableContents"/>
                              <w:bidi w:val="0"/>
                              <w:spacing w:before="120" w:after="20"/>
                              <w:jc w:val="left"/>
                              <w:rPr>
                                <w:rFonts w:ascii="Montserrat;Montserrat Medium;sans-serif" w:hAnsi="Montserrat;Montserrat Medium;sans-serif"/>
                                <w:b/>
                                <w:color w:val="7855FA"/>
                                <w:sz w:val="18"/>
                              </w:rPr>
                            </w:pPr>
                            <w:r>
                              <w:rPr>
                                <w:rFonts w:ascii="Montserrat;Montserrat Medium;sans-serif" w:hAnsi="Montserrat;Montserrat Medium;sans-serif"/>
                                <w:b/>
                                <w:color w:val="7855FA"/>
                                <w:sz w:val="18"/>
                              </w:rPr>
                              <w:t>Board vote</w:t>
                              <w:br/>
                              <w:t>recommendation</w:t>
                            </w:r>
                          </w:p>
                        </w:tc>
                        <w:tc>
                          <w:tcPr>
                            <w:tcW w:w="146" w:type="dxa"/>
                            <w:tcBorders>
                              <w:bottom w:val="single" w:sz="4" w:space="0" w:color="7855FA"/>
                            </w:tcBorders>
                            <w:tcMar>
                              <w:top w:w="0" w:type="dxa"/>
                              <w:left w:w="0" w:type="dxa"/>
                              <w:right w:w="0" w:type="dxa"/>
                            </w:tcMar>
                            <w:vAlign w:val="center"/>
                          </w:tcPr>
                          <w:p>
                            <w:pPr>
                              <w:pStyle w:val="TableContents"/>
                              <w:bidi w:val="0"/>
                              <w:spacing w:before="120" w:after="20"/>
                              <w:jc w:val="left"/>
                              <w:rPr/>
                            </w:pPr>
                            <w:r>
                              <w:rPr/>
                              <w:t> </w:t>
                            </w:r>
                          </w:p>
                        </w:tc>
                        <w:tc>
                          <w:tcPr>
                            <w:tcW w:w="1101" w:type="dxa"/>
                            <w:tcBorders>
                              <w:bottom w:val="single" w:sz="4" w:space="0" w:color="7855FA"/>
                            </w:tcBorders>
                            <w:tcMar>
                              <w:top w:w="0" w:type="dxa"/>
                              <w:left w:w="0" w:type="dxa"/>
                              <w:right w:w="0" w:type="dxa"/>
                            </w:tcMar>
                            <w:vAlign w:val="center"/>
                          </w:tcPr>
                          <w:p>
                            <w:pPr>
                              <w:pStyle w:val="TableContents"/>
                              <w:bidi w:val="0"/>
                              <w:spacing w:before="120" w:after="20"/>
                              <w:jc w:val="left"/>
                              <w:rPr>
                                <w:rFonts w:ascii="Montserrat;Montserrat Medium;sans-serif" w:hAnsi="Montserrat;Montserrat Medium;sans-serif"/>
                                <w:b/>
                                <w:color w:val="7855FA"/>
                                <w:sz w:val="18"/>
                              </w:rPr>
                            </w:pPr>
                            <w:r>
                              <w:rPr>
                                <w:rFonts w:ascii="Montserrat;Montserrat Medium;sans-serif" w:hAnsi="Montserrat;Montserrat Medium;sans-serif"/>
                                <w:b/>
                                <w:color w:val="7855FA"/>
                                <w:sz w:val="18"/>
                              </w:rPr>
                              <w:t>For further</w:t>
                              <w:br/>
                              <w:t>details</w:t>
                            </w:r>
                          </w:p>
                        </w:tc>
                      </w:tr>
                      <w:tr>
                        <w:trPr/>
                        <w:tc>
                          <w:tcPr>
                            <w:tcW w:w="274" w:type="dxa"/>
                            <w:tcBorders>
                              <w:bottom w:val="single" w:sz="4" w:space="0" w:color="000000"/>
                            </w:tcBorders>
                            <w:tcMar>
                              <w:top w:w="0" w:type="dxa"/>
                              <w:left w:w="0" w:type="dxa"/>
                              <w:right w:w="0" w:type="dxa"/>
                            </w:tcMar>
                            <w:vAlign w:val="center"/>
                          </w:tcPr>
                          <w:p>
                            <w:pPr>
                              <w:pStyle w:val="TableContents"/>
                              <w:bidi w:val="0"/>
                              <w:spacing w:before="60" w:after="40"/>
                              <w:jc w:val="left"/>
                              <w:rPr>
                                <w:rFonts w:ascii="Montserrat;sans-serif" w:hAnsi="Montserrat;sans-serif"/>
                                <w:color w:val="7855FA"/>
                                <w:sz w:val="18"/>
                              </w:rPr>
                            </w:pPr>
                            <w:r>
                              <w:rPr>
                                <w:rFonts w:ascii="Montserrat;sans-serif" w:hAnsi="Montserrat;sans-serif"/>
                                <w:color w:val="7855FA"/>
                                <w:sz w:val="18"/>
                              </w:rPr>
                              <w:t>1.</w:t>
                            </w:r>
                          </w:p>
                        </w:tc>
                        <w:tc>
                          <w:tcPr>
                            <w:tcW w:w="6692" w:type="dxa"/>
                            <w:tcBorders>
                              <w:bottom w:val="single" w:sz="2" w:space="0" w:color="000000"/>
                            </w:tcBorders>
                            <w:tcMar>
                              <w:top w:w="0" w:type="dxa"/>
                              <w:left w:w="0" w:type="dxa"/>
                              <w:right w:w="0" w:type="dxa"/>
                            </w:tcMar>
                            <w:vAlign w:val="center"/>
                          </w:tcPr>
                          <w:p>
                            <w:pPr>
                              <w:pStyle w:val="TableContents"/>
                              <w:bidi w:val="0"/>
                              <w:spacing w:before="60" w:after="40"/>
                              <w:jc w:val="left"/>
                              <w:rPr>
                                <w:rFonts w:ascii="Montserrat;sans-serif" w:hAnsi="Montserrat;sans-serif"/>
                                <w:color w:val="000000"/>
                                <w:sz w:val="18"/>
                              </w:rPr>
                            </w:pPr>
                            <w:r>
                              <w:rPr>
                                <w:rFonts w:ascii="Montserrat;sans-serif" w:hAnsi="Montserrat;sans-serif"/>
                                <w:color w:val="000000"/>
                                <w:sz w:val="18"/>
                              </w:rPr>
                              <w:t>Election of Directors</w:t>
                            </w:r>
                          </w:p>
                        </w:tc>
                        <w:tc>
                          <w:tcPr>
                            <w:tcW w:w="146" w:type="dxa"/>
                            <w:tcBorders>
                              <w:bottom w:val="single" w:sz="2" w:space="0" w:color="000000"/>
                            </w:tcBorders>
                            <w:tcMar>
                              <w:top w:w="0" w:type="dxa"/>
                              <w:left w:w="0" w:type="dxa"/>
                              <w:right w:w="0" w:type="dxa"/>
                            </w:tcMar>
                            <w:vAlign w:val="center"/>
                          </w:tcPr>
                          <w:p>
                            <w:pPr>
                              <w:pStyle w:val="TableContents"/>
                              <w:bidi w:val="0"/>
                              <w:spacing w:before="120" w:after="283"/>
                              <w:jc w:val="left"/>
                              <w:rPr/>
                            </w:pPr>
                            <w:r>
                              <w:rPr/>
                              <w:t> </w:t>
                            </w:r>
                          </w:p>
                        </w:tc>
                        <w:tc>
                          <w:tcPr>
                            <w:tcW w:w="738" w:type="dxa"/>
                            <w:tcBorders>
                              <w:bottom w:val="single" w:sz="2" w:space="0" w:color="000000"/>
                            </w:tcBorders>
                            <w:tcMar>
                              <w:top w:w="0" w:type="dxa"/>
                              <w:left w:w="0" w:type="dxa"/>
                              <w:right w:w="0" w:type="dxa"/>
                            </w:tcMar>
                            <w:vAlign w:val="center"/>
                          </w:tcPr>
                          <w:p>
                            <w:pPr>
                              <w:pStyle w:val="TableContents"/>
                              <w:bidi w:val="0"/>
                              <w:spacing w:before="60" w:after="40"/>
                              <w:jc w:val="left"/>
                              <w:rPr/>
                            </w:pPr>
                            <w:r>
                              <w:rPr/>
                              <w:drawing>
                                <wp:inline distT="0" distB="0" distL="0" distR="0">
                                  <wp:extent cx="161925" cy="161925"/>
                                  <wp:effectExtent l="0" t="0" r="0" b="0"/>
                                  <wp:docPr id="1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2" descr=""/>
                                          <pic:cNvPicPr>
                                            <a:picLocks noChangeAspect="1" noChangeArrowheads="1"/>
                                          </pic:cNvPicPr>
                                        </pic:nvPicPr>
                                        <pic:blipFill>
                                          <a:blip r:embed="rId10"/>
                                          <a:stretch>
                                            <a:fillRect/>
                                          </a:stretch>
                                        </pic:blipFill>
                                        <pic:spPr bwMode="auto">
                                          <a:xfrm>
                                            <a:off x="0" y="0"/>
                                            <a:ext cx="161925" cy="161925"/>
                                          </a:xfrm>
                                          <a:prstGeom prst="rect">
                                            <a:avLst/>
                                          </a:prstGeom>
                                        </pic:spPr>
                                      </pic:pic>
                                    </a:graphicData>
                                  </a:graphic>
                                </wp:inline>
                              </w:drawing>
                            </w:r>
                          </w:p>
                        </w:tc>
                        <w:tc>
                          <w:tcPr>
                            <w:tcW w:w="1108" w:type="dxa"/>
                            <w:tcBorders>
                              <w:bottom w:val="single" w:sz="2" w:space="0" w:color="000000"/>
                            </w:tcBorders>
                            <w:tcMar>
                              <w:top w:w="0" w:type="dxa"/>
                              <w:left w:w="0" w:type="dxa"/>
                              <w:right w:w="0" w:type="dxa"/>
                            </w:tcMar>
                            <w:vAlign w:val="center"/>
                          </w:tcPr>
                          <w:p>
                            <w:pPr>
                              <w:pStyle w:val="TableContents"/>
                              <w:bidi w:val="0"/>
                              <w:spacing w:before="60" w:after="40"/>
                              <w:jc w:val="left"/>
                              <w:rPr>
                                <w:rFonts w:ascii="Montserrat;sans-serif" w:hAnsi="Montserrat;sans-serif"/>
                                <w:b/>
                                <w:color w:val="000000"/>
                                <w:sz w:val="18"/>
                              </w:rPr>
                            </w:pPr>
                            <w:r>
                              <w:rPr>
                                <w:rFonts w:ascii="Montserrat;sans-serif" w:hAnsi="Montserrat;sans-serif"/>
                                <w:b/>
                                <w:color w:val="000000"/>
                                <w:sz w:val="18"/>
                              </w:rPr>
                              <w:t>FOR</w:t>
                            </w:r>
                          </w:p>
                        </w:tc>
                        <w:tc>
                          <w:tcPr>
                            <w:tcW w:w="146" w:type="dxa"/>
                            <w:tcBorders>
                              <w:bottom w:val="single" w:sz="2" w:space="0" w:color="000000"/>
                            </w:tcBorders>
                            <w:tcMar>
                              <w:top w:w="0" w:type="dxa"/>
                              <w:left w:w="0" w:type="dxa"/>
                              <w:right w:w="0" w:type="dxa"/>
                            </w:tcMar>
                            <w:vAlign w:val="center"/>
                          </w:tcPr>
                          <w:p>
                            <w:pPr>
                              <w:pStyle w:val="TableContents"/>
                              <w:bidi w:val="0"/>
                              <w:spacing w:before="120" w:after="283"/>
                              <w:jc w:val="left"/>
                              <w:rPr/>
                            </w:pPr>
                            <w:r>
                              <w:rPr/>
                              <w:t> </w:t>
                            </w:r>
                          </w:p>
                        </w:tc>
                        <w:tc>
                          <w:tcPr>
                            <w:tcW w:w="1101" w:type="dxa"/>
                            <w:tcBorders>
                              <w:bottom w:val="single" w:sz="2" w:space="0" w:color="000000"/>
                            </w:tcBorders>
                            <w:tcMar>
                              <w:top w:w="0" w:type="dxa"/>
                              <w:left w:w="0" w:type="dxa"/>
                              <w:right w:w="0" w:type="dxa"/>
                            </w:tcMar>
                            <w:vAlign w:val="center"/>
                          </w:tcPr>
                          <w:p>
                            <w:pPr>
                              <w:pStyle w:val="TableContents"/>
                              <w:bidi w:val="0"/>
                              <w:spacing w:before="60" w:after="40"/>
                              <w:jc w:val="left"/>
                              <w:rPr>
                                <w:rFonts w:ascii="Montserrat;sans-serif" w:hAnsi="Montserrat;sans-serif"/>
                                <w:color w:val="000000"/>
                                <w:sz w:val="18"/>
                              </w:rPr>
                            </w:pPr>
                            <w:r>
                              <w:rPr>
                                <w:rFonts w:ascii="Montserrat;sans-serif" w:hAnsi="Montserrat;sans-serif"/>
                                <w:color w:val="000000"/>
                                <w:sz w:val="18"/>
                              </w:rPr>
                              <w:t>Page 20</w:t>
                            </w:r>
                          </w:p>
                        </w:tc>
                      </w:tr>
                      <w:tr>
                        <w:trPr/>
                        <w:tc>
                          <w:tcPr>
                            <w:tcW w:w="274" w:type="dxa"/>
                            <w:tcBorders>
                              <w:bottom w:val="single" w:sz="2" w:space="0" w:color="000000"/>
                            </w:tcBorders>
                            <w:tcMar>
                              <w:top w:w="0" w:type="dxa"/>
                              <w:left w:w="0" w:type="dxa"/>
                              <w:right w:w="0" w:type="dxa"/>
                            </w:tcMar>
                            <w:vAlign w:val="center"/>
                          </w:tcPr>
                          <w:p>
                            <w:pPr>
                              <w:pStyle w:val="TableContents"/>
                              <w:bidi w:val="0"/>
                              <w:spacing w:before="60" w:after="40"/>
                              <w:jc w:val="left"/>
                              <w:rPr>
                                <w:rFonts w:ascii="Montserrat;sans-serif" w:hAnsi="Montserrat;sans-serif"/>
                                <w:color w:val="7855FA"/>
                                <w:sz w:val="18"/>
                              </w:rPr>
                            </w:pPr>
                            <w:r>
                              <w:rPr>
                                <w:rFonts w:ascii="Montserrat;sans-serif" w:hAnsi="Montserrat;sans-serif"/>
                                <w:color w:val="7855FA"/>
                                <w:sz w:val="18"/>
                              </w:rPr>
                              <w:t>2.</w:t>
                            </w:r>
                          </w:p>
                        </w:tc>
                        <w:tc>
                          <w:tcPr>
                            <w:tcW w:w="6692" w:type="dxa"/>
                            <w:tcBorders>
                              <w:bottom w:val="single" w:sz="2" w:space="0" w:color="000000"/>
                            </w:tcBorders>
                            <w:tcMar>
                              <w:top w:w="0" w:type="dxa"/>
                              <w:left w:w="0" w:type="dxa"/>
                              <w:right w:w="0" w:type="dxa"/>
                            </w:tcMar>
                            <w:vAlign w:val="center"/>
                          </w:tcPr>
                          <w:p>
                            <w:pPr>
                              <w:pStyle w:val="TableContents"/>
                              <w:bidi w:val="0"/>
                              <w:spacing w:before="60" w:after="40"/>
                              <w:jc w:val="left"/>
                              <w:rPr>
                                <w:rFonts w:ascii="Montserrat;sans-serif" w:hAnsi="Montserrat;sans-serif"/>
                                <w:color w:val="000000"/>
                                <w:sz w:val="18"/>
                              </w:rPr>
                            </w:pPr>
                            <w:r>
                              <w:rPr>
                                <w:rFonts w:ascii="Montserrat;sans-serif" w:hAnsi="Montserrat;sans-serif"/>
                                <w:color w:val="000000"/>
                                <w:sz w:val="18"/>
                              </w:rPr>
                              <w:t>Ratification of Selection of Deloitte &amp; Touche LLP as Independent Registered Public Accounting Firm for Fiscal Year 2027</w:t>
                            </w:r>
                          </w:p>
                        </w:tc>
                        <w:tc>
                          <w:tcPr>
                            <w:tcW w:w="146" w:type="dxa"/>
                            <w:tcBorders>
                              <w:bottom w:val="single" w:sz="2" w:space="0" w:color="000000"/>
                            </w:tcBorders>
                            <w:tcMar>
                              <w:top w:w="0" w:type="dxa"/>
                              <w:left w:w="0" w:type="dxa"/>
                              <w:right w:w="0" w:type="dxa"/>
                            </w:tcMar>
                            <w:vAlign w:val="center"/>
                          </w:tcPr>
                          <w:p>
                            <w:pPr>
                              <w:pStyle w:val="TableContents"/>
                              <w:bidi w:val="0"/>
                              <w:spacing w:before="120" w:after="283"/>
                              <w:jc w:val="left"/>
                              <w:rPr/>
                            </w:pPr>
                            <w:r>
                              <w:rPr/>
                              <w:t> </w:t>
                            </w:r>
                          </w:p>
                        </w:tc>
                        <w:tc>
                          <w:tcPr>
                            <w:tcW w:w="738" w:type="dxa"/>
                            <w:tcBorders>
                              <w:bottom w:val="single" w:sz="2" w:space="0" w:color="000000"/>
                            </w:tcBorders>
                            <w:tcMar>
                              <w:top w:w="0" w:type="dxa"/>
                              <w:left w:w="0" w:type="dxa"/>
                              <w:right w:w="0" w:type="dxa"/>
                            </w:tcMar>
                            <w:vAlign w:val="center"/>
                          </w:tcPr>
                          <w:p>
                            <w:pPr>
                              <w:pStyle w:val="TableContents"/>
                              <w:bidi w:val="0"/>
                              <w:spacing w:before="60" w:after="40"/>
                              <w:jc w:val="left"/>
                              <w:rPr/>
                            </w:pPr>
                            <w:r>
                              <w:rPr/>
                              <w:drawing>
                                <wp:inline distT="0" distB="0" distL="0" distR="0">
                                  <wp:extent cx="161925" cy="161925"/>
                                  <wp:effectExtent l="0" t="0" r="0" b="0"/>
                                  <wp:docPr id="1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23" descr=""/>
                                          <pic:cNvPicPr>
                                            <a:picLocks noChangeAspect="1" noChangeArrowheads="1"/>
                                          </pic:cNvPicPr>
                                        </pic:nvPicPr>
                                        <pic:blipFill>
                                          <a:blip r:embed="rId11"/>
                                          <a:stretch>
                                            <a:fillRect/>
                                          </a:stretch>
                                        </pic:blipFill>
                                        <pic:spPr bwMode="auto">
                                          <a:xfrm>
                                            <a:off x="0" y="0"/>
                                            <a:ext cx="161925" cy="161925"/>
                                          </a:xfrm>
                                          <a:prstGeom prst="rect">
                                            <a:avLst/>
                                          </a:prstGeom>
                                        </pic:spPr>
                                      </pic:pic>
                                    </a:graphicData>
                                  </a:graphic>
                                </wp:inline>
                              </w:drawing>
                            </w:r>
                          </w:p>
                        </w:tc>
                        <w:tc>
                          <w:tcPr>
                            <w:tcW w:w="1108" w:type="dxa"/>
                            <w:tcBorders>
                              <w:bottom w:val="single" w:sz="2" w:space="0" w:color="000000"/>
                            </w:tcBorders>
                            <w:tcMar>
                              <w:top w:w="0" w:type="dxa"/>
                              <w:left w:w="0" w:type="dxa"/>
                              <w:right w:w="0" w:type="dxa"/>
                            </w:tcMar>
                            <w:vAlign w:val="center"/>
                          </w:tcPr>
                          <w:p>
                            <w:pPr>
                              <w:pStyle w:val="TableContents"/>
                              <w:bidi w:val="0"/>
                              <w:spacing w:before="60" w:after="40"/>
                              <w:jc w:val="left"/>
                              <w:rPr>
                                <w:rFonts w:ascii="Montserrat;sans-serif" w:hAnsi="Montserrat;sans-serif"/>
                                <w:b/>
                                <w:color w:val="000000"/>
                                <w:sz w:val="18"/>
                              </w:rPr>
                            </w:pPr>
                            <w:r>
                              <w:rPr>
                                <w:rFonts w:ascii="Montserrat;sans-serif" w:hAnsi="Montserrat;sans-serif"/>
                                <w:b/>
                                <w:color w:val="000000"/>
                                <w:sz w:val="18"/>
                              </w:rPr>
                              <w:t>FOR</w:t>
                            </w:r>
                          </w:p>
                        </w:tc>
                        <w:tc>
                          <w:tcPr>
                            <w:tcW w:w="146" w:type="dxa"/>
                            <w:tcBorders>
                              <w:bottom w:val="single" w:sz="2" w:space="0" w:color="000000"/>
                            </w:tcBorders>
                            <w:tcMar>
                              <w:top w:w="0" w:type="dxa"/>
                              <w:left w:w="0" w:type="dxa"/>
                              <w:right w:w="0" w:type="dxa"/>
                            </w:tcMar>
                            <w:vAlign w:val="center"/>
                          </w:tcPr>
                          <w:p>
                            <w:pPr>
                              <w:pStyle w:val="TableContents"/>
                              <w:bidi w:val="0"/>
                              <w:spacing w:before="120" w:after="283"/>
                              <w:jc w:val="left"/>
                              <w:rPr/>
                            </w:pPr>
                            <w:r>
                              <w:rPr/>
                              <w:t> </w:t>
                            </w:r>
                          </w:p>
                        </w:tc>
                        <w:tc>
                          <w:tcPr>
                            <w:tcW w:w="1101" w:type="dxa"/>
                            <w:tcBorders>
                              <w:bottom w:val="single" w:sz="2" w:space="0" w:color="000000"/>
                            </w:tcBorders>
                            <w:tcMar>
                              <w:top w:w="0" w:type="dxa"/>
                              <w:left w:w="0" w:type="dxa"/>
                              <w:right w:w="0" w:type="dxa"/>
                            </w:tcMar>
                            <w:vAlign w:val="center"/>
                          </w:tcPr>
                          <w:p>
                            <w:pPr>
                              <w:pStyle w:val="TableContents"/>
                              <w:bidi w:val="0"/>
                              <w:spacing w:before="60" w:after="40"/>
                              <w:jc w:val="left"/>
                              <w:rPr>
                                <w:rFonts w:ascii="Montserrat;sans-serif" w:hAnsi="Montserrat;sans-serif"/>
                                <w:color w:val="000000"/>
                                <w:sz w:val="18"/>
                              </w:rPr>
                            </w:pPr>
                            <w:r>
                              <w:rPr>
                                <w:rFonts w:ascii="Montserrat;sans-serif" w:hAnsi="Montserrat;sans-serif"/>
                                <w:color w:val="000000"/>
                                <w:sz w:val="18"/>
                              </w:rPr>
                              <w:t>Page 34</w:t>
                            </w:r>
                          </w:p>
                        </w:tc>
                      </w:tr>
                      <w:tr>
                        <w:trPr/>
                        <w:tc>
                          <w:tcPr>
                            <w:tcW w:w="274" w:type="dxa"/>
                            <w:tcBorders>
                              <w:bottom w:val="single" w:sz="2" w:space="0" w:color="000000"/>
                            </w:tcBorders>
                            <w:tcMar>
                              <w:top w:w="0" w:type="dxa"/>
                              <w:left w:w="0" w:type="dxa"/>
                              <w:right w:w="0" w:type="dxa"/>
                            </w:tcMar>
                            <w:vAlign w:val="center"/>
                          </w:tcPr>
                          <w:p>
                            <w:pPr>
                              <w:pStyle w:val="TableContents"/>
                              <w:bidi w:val="0"/>
                              <w:spacing w:before="60" w:after="40"/>
                              <w:jc w:val="left"/>
                              <w:rPr>
                                <w:rFonts w:ascii="Montserrat;sans-serif" w:hAnsi="Montserrat;sans-serif"/>
                                <w:color w:val="7855FA"/>
                                <w:sz w:val="18"/>
                              </w:rPr>
                            </w:pPr>
                            <w:r>
                              <w:rPr>
                                <w:rFonts w:ascii="Montserrat;sans-serif" w:hAnsi="Montserrat;sans-serif"/>
                                <w:color w:val="7855FA"/>
                                <w:sz w:val="18"/>
                              </w:rPr>
                              <w:t>3.</w:t>
                            </w:r>
                          </w:p>
                        </w:tc>
                        <w:tc>
                          <w:tcPr>
                            <w:tcW w:w="6692" w:type="dxa"/>
                            <w:tcBorders>
                              <w:bottom w:val="single" w:sz="2" w:space="0" w:color="000000"/>
                            </w:tcBorders>
                            <w:tcMar>
                              <w:top w:w="0" w:type="dxa"/>
                              <w:left w:w="0" w:type="dxa"/>
                              <w:right w:w="0" w:type="dxa"/>
                            </w:tcMar>
                            <w:vAlign w:val="center"/>
                          </w:tcPr>
                          <w:p>
                            <w:pPr>
                              <w:pStyle w:val="TableContents"/>
                              <w:bidi w:val="0"/>
                              <w:spacing w:before="60" w:after="40"/>
                              <w:jc w:val="left"/>
                              <w:rPr>
                                <w:rFonts w:ascii="Montserrat;sans-serif" w:hAnsi="Montserrat;sans-serif"/>
                                <w:color w:val="000000"/>
                                <w:sz w:val="18"/>
                              </w:rPr>
                            </w:pPr>
                            <w:r>
                              <w:rPr>
                                <w:rFonts w:ascii="Montserrat;sans-serif" w:hAnsi="Montserrat;sans-serif"/>
                                <w:color w:val="000000"/>
                                <w:sz w:val="18"/>
                              </w:rPr>
                              <w:t>Advisory Vote to Approve the Compensation of our Named Executive Officers</w:t>
                            </w:r>
                          </w:p>
                        </w:tc>
                        <w:tc>
                          <w:tcPr>
                            <w:tcW w:w="146" w:type="dxa"/>
                            <w:tcBorders>
                              <w:bottom w:val="single" w:sz="2" w:space="0" w:color="000000"/>
                            </w:tcBorders>
                            <w:tcMar>
                              <w:top w:w="0" w:type="dxa"/>
                              <w:left w:w="0" w:type="dxa"/>
                              <w:right w:w="0" w:type="dxa"/>
                            </w:tcMar>
                            <w:vAlign w:val="center"/>
                          </w:tcPr>
                          <w:p>
                            <w:pPr>
                              <w:pStyle w:val="TableContents"/>
                              <w:bidi w:val="0"/>
                              <w:spacing w:before="120" w:after="283"/>
                              <w:jc w:val="left"/>
                              <w:rPr/>
                            </w:pPr>
                            <w:r>
                              <w:rPr/>
                              <w:t> </w:t>
                            </w:r>
                          </w:p>
                        </w:tc>
                        <w:tc>
                          <w:tcPr>
                            <w:tcW w:w="738" w:type="dxa"/>
                            <w:tcBorders>
                              <w:bottom w:val="single" w:sz="2" w:space="0" w:color="000000"/>
                            </w:tcBorders>
                            <w:tcMar>
                              <w:top w:w="0" w:type="dxa"/>
                              <w:left w:w="0" w:type="dxa"/>
                              <w:right w:w="0" w:type="dxa"/>
                            </w:tcMar>
                            <w:vAlign w:val="center"/>
                          </w:tcPr>
                          <w:p>
                            <w:pPr>
                              <w:pStyle w:val="TableContents"/>
                              <w:bidi w:val="0"/>
                              <w:spacing w:before="60" w:after="40"/>
                              <w:jc w:val="left"/>
                              <w:rPr/>
                            </w:pPr>
                            <w:r>
                              <w:rPr/>
                              <w:drawing>
                                <wp:inline distT="0" distB="0" distL="0" distR="0">
                                  <wp:extent cx="161925" cy="161925"/>
                                  <wp:effectExtent l="0" t="0" r="0" b="0"/>
                                  <wp:docPr id="1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4" descr=""/>
                                          <pic:cNvPicPr>
                                            <a:picLocks noChangeAspect="1" noChangeArrowheads="1"/>
                                          </pic:cNvPicPr>
                                        </pic:nvPicPr>
                                        <pic:blipFill>
                                          <a:blip r:embed="rId12"/>
                                          <a:stretch>
                                            <a:fillRect/>
                                          </a:stretch>
                                        </pic:blipFill>
                                        <pic:spPr bwMode="auto">
                                          <a:xfrm>
                                            <a:off x="0" y="0"/>
                                            <a:ext cx="161925" cy="161925"/>
                                          </a:xfrm>
                                          <a:prstGeom prst="rect">
                                            <a:avLst/>
                                          </a:prstGeom>
                                        </pic:spPr>
                                      </pic:pic>
                                    </a:graphicData>
                                  </a:graphic>
                                </wp:inline>
                              </w:drawing>
                            </w:r>
                          </w:p>
                        </w:tc>
                        <w:tc>
                          <w:tcPr>
                            <w:tcW w:w="1108" w:type="dxa"/>
                            <w:tcBorders>
                              <w:bottom w:val="single" w:sz="2" w:space="0" w:color="000000"/>
                            </w:tcBorders>
                            <w:tcMar>
                              <w:top w:w="0" w:type="dxa"/>
                              <w:left w:w="0" w:type="dxa"/>
                              <w:right w:w="0" w:type="dxa"/>
                            </w:tcMar>
                            <w:vAlign w:val="center"/>
                          </w:tcPr>
                          <w:p>
                            <w:pPr>
                              <w:pStyle w:val="TableContents"/>
                              <w:bidi w:val="0"/>
                              <w:spacing w:before="60" w:after="40"/>
                              <w:jc w:val="left"/>
                              <w:rPr>
                                <w:rFonts w:ascii="Montserrat;sans-serif" w:hAnsi="Montserrat;sans-serif"/>
                                <w:b/>
                                <w:color w:val="000000"/>
                                <w:sz w:val="18"/>
                              </w:rPr>
                            </w:pPr>
                            <w:r>
                              <w:rPr>
                                <w:rFonts w:ascii="Montserrat;sans-serif" w:hAnsi="Montserrat;sans-serif"/>
                                <w:b/>
                                <w:color w:val="000000"/>
                                <w:sz w:val="18"/>
                              </w:rPr>
                              <w:t>FOR</w:t>
                            </w:r>
                          </w:p>
                        </w:tc>
                        <w:tc>
                          <w:tcPr>
                            <w:tcW w:w="146" w:type="dxa"/>
                            <w:tcBorders>
                              <w:bottom w:val="single" w:sz="2" w:space="0" w:color="000000"/>
                            </w:tcBorders>
                            <w:tcMar>
                              <w:top w:w="0" w:type="dxa"/>
                              <w:left w:w="0" w:type="dxa"/>
                              <w:right w:w="0" w:type="dxa"/>
                            </w:tcMar>
                            <w:vAlign w:val="center"/>
                          </w:tcPr>
                          <w:p>
                            <w:pPr>
                              <w:pStyle w:val="TableContents"/>
                              <w:bidi w:val="0"/>
                              <w:spacing w:before="120" w:after="283"/>
                              <w:jc w:val="left"/>
                              <w:rPr/>
                            </w:pPr>
                            <w:r>
                              <w:rPr/>
                              <w:t> </w:t>
                            </w:r>
                          </w:p>
                        </w:tc>
                        <w:tc>
                          <w:tcPr>
                            <w:tcW w:w="1101" w:type="dxa"/>
                            <w:tcBorders>
                              <w:bottom w:val="single" w:sz="2" w:space="0" w:color="000000"/>
                            </w:tcBorders>
                            <w:tcMar>
                              <w:top w:w="0" w:type="dxa"/>
                              <w:left w:w="0" w:type="dxa"/>
                              <w:right w:w="0" w:type="dxa"/>
                            </w:tcMar>
                            <w:vAlign w:val="center"/>
                          </w:tcPr>
                          <w:p>
                            <w:pPr>
                              <w:pStyle w:val="TableContents"/>
                              <w:bidi w:val="0"/>
                              <w:spacing w:before="60" w:after="40"/>
                              <w:jc w:val="left"/>
                              <w:rPr>
                                <w:rFonts w:ascii="Montserrat;sans-serif" w:hAnsi="Montserrat;sans-serif"/>
                                <w:color w:val="000000"/>
                                <w:sz w:val="18"/>
                              </w:rPr>
                            </w:pPr>
                            <w:r>
                              <w:rPr>
                                <w:rFonts w:ascii="Montserrat;sans-serif" w:hAnsi="Montserrat;sans-serif"/>
                                <w:color w:val="000000"/>
                                <w:sz w:val="18"/>
                              </w:rPr>
                              <w:t>Page 38</w:t>
                            </w:r>
                          </w:p>
                        </w:tc>
                      </w:tr>
                      <w:tr>
                        <w:trPr/>
                        <w:tc>
                          <w:tcPr>
                            <w:tcW w:w="274" w:type="dxa"/>
                            <w:tcBorders>
                              <w:bottom w:val="single" w:sz="4" w:space="0" w:color="7855FA"/>
                            </w:tcBorders>
                            <w:tcMar>
                              <w:top w:w="0" w:type="dxa"/>
                              <w:left w:w="0" w:type="dxa"/>
                              <w:right w:w="0" w:type="dxa"/>
                            </w:tcMar>
                            <w:vAlign w:val="center"/>
                          </w:tcPr>
                          <w:p>
                            <w:pPr>
                              <w:pStyle w:val="TableContents"/>
                              <w:bidi w:val="0"/>
                              <w:spacing w:before="60" w:after="40"/>
                              <w:jc w:val="left"/>
                              <w:rPr>
                                <w:rFonts w:ascii="Montserrat;sans-serif" w:hAnsi="Montserrat;sans-serif"/>
                                <w:color w:val="7855FA"/>
                                <w:sz w:val="18"/>
                              </w:rPr>
                            </w:pPr>
                            <w:r>
                              <w:rPr>
                                <w:rFonts w:ascii="Montserrat;sans-serif" w:hAnsi="Montserrat;sans-serif"/>
                                <w:color w:val="7855FA"/>
                                <w:sz w:val="18"/>
                              </w:rPr>
                              <w:t>4.</w:t>
                            </w:r>
                          </w:p>
                        </w:tc>
                        <w:tc>
                          <w:tcPr>
                            <w:tcW w:w="6692" w:type="dxa"/>
                            <w:tcBorders>
                              <w:bottom w:val="single" w:sz="4" w:space="0" w:color="7855FA"/>
                            </w:tcBorders>
                            <w:tcMar>
                              <w:top w:w="0" w:type="dxa"/>
                              <w:left w:w="0" w:type="dxa"/>
                              <w:right w:w="0" w:type="dxa"/>
                            </w:tcMar>
                            <w:vAlign w:val="center"/>
                          </w:tcPr>
                          <w:p>
                            <w:pPr>
                              <w:pStyle w:val="TableContents"/>
                              <w:bidi w:val="0"/>
                              <w:spacing w:before="60" w:after="40"/>
                              <w:jc w:val="left"/>
                              <w:rPr>
                                <w:rFonts w:ascii="Montserrat;sans-serif" w:hAnsi="Montserrat;sans-serif"/>
                                <w:color w:val="000000"/>
                                <w:sz w:val="18"/>
                              </w:rPr>
                            </w:pPr>
                            <w:r>
                              <w:rPr>
                                <w:rFonts w:ascii="Montserrat;sans-serif" w:hAnsi="Montserrat;sans-serif"/>
                                <w:color w:val="000000"/>
                                <w:sz w:val="18"/>
                              </w:rPr>
                              <w:t>Approval of an Amendment to the Amended and Restated 2016 Equity Incentive Plan to Increase the Share Reserve</w:t>
                            </w:r>
                          </w:p>
                        </w:tc>
                        <w:tc>
                          <w:tcPr>
                            <w:tcW w:w="146" w:type="dxa"/>
                            <w:tcBorders>
                              <w:bottom w:val="single" w:sz="4" w:space="0" w:color="7855FA"/>
                            </w:tcBorders>
                            <w:tcMar>
                              <w:top w:w="0" w:type="dxa"/>
                              <w:left w:w="0" w:type="dxa"/>
                              <w:right w:w="0" w:type="dxa"/>
                            </w:tcMar>
                            <w:vAlign w:val="center"/>
                          </w:tcPr>
                          <w:p>
                            <w:pPr>
                              <w:pStyle w:val="TableContents"/>
                              <w:bidi w:val="0"/>
                              <w:spacing w:before="120" w:after="283"/>
                              <w:jc w:val="left"/>
                              <w:rPr/>
                            </w:pPr>
                            <w:r>
                              <w:rPr/>
                              <w:t> </w:t>
                            </w:r>
                          </w:p>
                        </w:tc>
                        <w:tc>
                          <w:tcPr>
                            <w:tcW w:w="738" w:type="dxa"/>
                            <w:tcBorders>
                              <w:bottom w:val="single" w:sz="4" w:space="0" w:color="7855FA"/>
                            </w:tcBorders>
                            <w:tcMar>
                              <w:top w:w="0" w:type="dxa"/>
                              <w:left w:w="0" w:type="dxa"/>
                              <w:right w:w="0" w:type="dxa"/>
                            </w:tcMar>
                            <w:vAlign w:val="center"/>
                          </w:tcPr>
                          <w:p>
                            <w:pPr>
                              <w:pStyle w:val="TableContents"/>
                              <w:bidi w:val="0"/>
                              <w:spacing w:before="60" w:after="40"/>
                              <w:jc w:val="left"/>
                              <w:rPr/>
                            </w:pPr>
                            <w:r>
                              <w:rPr/>
                              <w:drawing>
                                <wp:inline distT="0" distB="0" distL="0" distR="0">
                                  <wp:extent cx="161925" cy="161925"/>
                                  <wp:effectExtent l="0" t="0" r="0" b="0"/>
                                  <wp:docPr id="1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25" descr=""/>
                                          <pic:cNvPicPr>
                                            <a:picLocks noChangeAspect="1" noChangeArrowheads="1"/>
                                          </pic:cNvPicPr>
                                        </pic:nvPicPr>
                                        <pic:blipFill>
                                          <a:blip r:embed="rId13"/>
                                          <a:stretch>
                                            <a:fillRect/>
                                          </a:stretch>
                                        </pic:blipFill>
                                        <pic:spPr bwMode="auto">
                                          <a:xfrm>
                                            <a:off x="0" y="0"/>
                                            <a:ext cx="161925" cy="161925"/>
                                          </a:xfrm>
                                          <a:prstGeom prst="rect">
                                            <a:avLst/>
                                          </a:prstGeom>
                                        </pic:spPr>
                                      </pic:pic>
                                    </a:graphicData>
                                  </a:graphic>
                                </wp:inline>
                              </w:drawing>
                            </w:r>
                          </w:p>
                        </w:tc>
                        <w:tc>
                          <w:tcPr>
                            <w:tcW w:w="1108" w:type="dxa"/>
                            <w:tcBorders>
                              <w:bottom w:val="single" w:sz="4" w:space="0" w:color="7855FA"/>
                            </w:tcBorders>
                            <w:tcMar>
                              <w:top w:w="0" w:type="dxa"/>
                              <w:left w:w="0" w:type="dxa"/>
                              <w:right w:w="0" w:type="dxa"/>
                            </w:tcMar>
                            <w:vAlign w:val="center"/>
                          </w:tcPr>
                          <w:p>
                            <w:pPr>
                              <w:pStyle w:val="TableContents"/>
                              <w:bidi w:val="0"/>
                              <w:spacing w:before="60" w:after="40"/>
                              <w:jc w:val="left"/>
                              <w:rPr>
                                <w:rFonts w:ascii="Montserrat;sans-serif" w:hAnsi="Montserrat;sans-serif"/>
                                <w:b/>
                                <w:color w:val="000000"/>
                                <w:sz w:val="18"/>
                              </w:rPr>
                            </w:pPr>
                            <w:r>
                              <w:rPr>
                                <w:rFonts w:ascii="Montserrat;sans-serif" w:hAnsi="Montserrat;sans-serif"/>
                                <w:b/>
                                <w:color w:val="000000"/>
                                <w:sz w:val="18"/>
                              </w:rPr>
                              <w:t>FOR</w:t>
                            </w:r>
                          </w:p>
                        </w:tc>
                        <w:tc>
                          <w:tcPr>
                            <w:tcW w:w="146" w:type="dxa"/>
                            <w:tcBorders>
                              <w:bottom w:val="single" w:sz="4" w:space="0" w:color="7855FA"/>
                            </w:tcBorders>
                            <w:tcMar>
                              <w:top w:w="0" w:type="dxa"/>
                              <w:left w:w="0" w:type="dxa"/>
                              <w:right w:w="0" w:type="dxa"/>
                            </w:tcMar>
                            <w:vAlign w:val="center"/>
                          </w:tcPr>
                          <w:p>
                            <w:pPr>
                              <w:pStyle w:val="TableContents"/>
                              <w:bidi w:val="0"/>
                              <w:spacing w:before="120" w:after="283"/>
                              <w:jc w:val="left"/>
                              <w:rPr/>
                            </w:pPr>
                            <w:r>
                              <w:rPr/>
                              <w:t> </w:t>
                            </w:r>
                          </w:p>
                        </w:tc>
                        <w:tc>
                          <w:tcPr>
                            <w:tcW w:w="1101" w:type="dxa"/>
                            <w:tcBorders>
                              <w:bottom w:val="single" w:sz="4" w:space="0" w:color="7855FA"/>
                            </w:tcBorders>
                            <w:tcMar>
                              <w:top w:w="0" w:type="dxa"/>
                              <w:left w:w="0" w:type="dxa"/>
                              <w:right w:w="0" w:type="dxa"/>
                            </w:tcMar>
                            <w:vAlign w:val="center"/>
                          </w:tcPr>
                          <w:p>
                            <w:pPr>
                              <w:pStyle w:val="TableContents"/>
                              <w:bidi w:val="0"/>
                              <w:spacing w:before="60" w:after="40"/>
                              <w:jc w:val="left"/>
                              <w:rPr>
                                <w:rFonts w:ascii="Montserrat;sans-serif" w:hAnsi="Montserrat;sans-serif"/>
                                <w:color w:val="000000"/>
                                <w:sz w:val="18"/>
                              </w:rPr>
                            </w:pPr>
                            <w:r>
                              <w:rPr>
                                <w:rFonts w:ascii="Montserrat;sans-serif" w:hAnsi="Montserrat;sans-serif"/>
                                <w:color w:val="000000"/>
                                <w:sz w:val="18"/>
                              </w:rPr>
                              <w:t>Page 74</w:t>
                            </w:r>
                          </w:p>
                        </w:tc>
                      </w:tr>
                    </w:tbl>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We are also holding the Annual Meeting to conduct any other business properly brought before the meeting.</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These items of business are more fully described in the proxy statement accompanying this Notice of 2026 Annual Meeting of Stockholders.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record date for the Annual Meeting is October 13, 2026. Only stockholders of record of our Class A common stock at the close of business on the record date may vote at the Annual Meeting.</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On or about October 20, 2026, we mailed to our stockholders a Notice of Internet Availability of Proxy Materials (the “Notice”) containing instructions on how to access our proxy statement and annual report. The Notice provides instructions on how to vote via the Internet or by telephone and includes instructions on how to receive a paper copy of our proxy materials by mail. The accompanying proxy statement and our annual report can be accessed directly at the following Internet address: www.proxyvote.com. You will be asked to enter the sixteen-digit control number located on your notice or proxy card.</w:t>
                      </w:r>
                    </w:p>
                  </w:txbxContent>
                </v:textbox>
                <w10:wrap type="none"/>
              </v:rect>
            </w:pict>
          </mc:Fallback>
        </mc:AlternateContent>
      </w:r>
      <w:r>
        <mc:AlternateContent>
          <mc:Choice Requires="wps">
            <w:drawing>
              <wp:anchor behindDoc="0" distT="0" distB="0" distL="0" distR="0" simplePos="0" locked="0" layoutInCell="1" allowOverlap="1" relativeHeight="167">
                <wp:simplePos x="0" y="0"/>
                <wp:positionH relativeFrom="page">
                  <wp:posOffset>4867275</wp:posOffset>
                </wp:positionH>
                <wp:positionV relativeFrom="page">
                  <wp:posOffset>2647950</wp:posOffset>
                </wp:positionV>
                <wp:extent cx="2447290" cy="5087620"/>
                <wp:effectExtent l="0" t="0" r="0" b="0"/>
                <wp:wrapNone/>
                <wp:docPr id="20" name="Frame1"/>
                <a:graphic xmlns:a="http://schemas.openxmlformats.org/drawingml/2006/main">
                  <a:graphicData uri="http://schemas.microsoft.com/office/word/2010/wordprocessingShape">
                    <wps:wsp>
                      <wps:cNvSpPr txBox="1"/>
                      <wps:spPr>
                        <a:xfrm>
                          <a:off x="0" y="0"/>
                          <a:ext cx="2447290" cy="5087620"/>
                        </a:xfrm>
                        <a:prstGeom prst="rect"/>
                        <a:solidFill>
                          <a:srgbClr val="FFFFFF"/>
                        </a:solidFill>
                      </wps:spPr>
                      <wps:txbx>
                        <w:txbxContent>
                          <w:p>
                            <w:pPr>
                              <w:pStyle w:val="TextBody"/>
                              <w:bidi w:val="0"/>
                              <w:spacing w:before="120" w:after="283"/>
                              <w:jc w:val="left"/>
                              <w:rPr>
                                <w:rFonts w:ascii="Montserrat;sans-serif" w:hAnsi="Montserrat;sans-serif"/>
                                <w:b/>
                                <w:color w:val="7855FA"/>
                                <w:sz w:val="18"/>
                              </w:rPr>
                            </w:pPr>
                            <w:r>
                              <w:rPr>
                                <w:rFonts w:ascii="Montserrat;sans-serif" w:hAnsi="Montserrat;sans-serif"/>
                                <w:b/>
                                <w:color w:val="7855FA"/>
                                <w:sz w:val="18"/>
                              </w:rPr>
                              <w:t>To Be Held Virtually on Friday, December 11, 2026</w:t>
                            </w:r>
                          </w:p>
                          <w:p>
                            <w:pPr>
                              <w:pStyle w:val="TextBody"/>
                              <w:bidi w:val="0"/>
                              <w:spacing w:before="60" w:after="283"/>
                              <w:jc w:val="both"/>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at 9:00 a.m., Pacific Time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351"/>
                              <w:gridCol w:w="452"/>
                              <w:gridCol w:w="8402"/>
                            </w:tblGrid>
                            <w:tr>
                              <w:trPr/>
                              <w:tc>
                                <w:tcPr>
                                  <w:tcW w:w="13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8402" w:type="dxa"/>
                                  <w:tcBorders/>
                                  <w:vAlign w:val="center"/>
                                </w:tcPr>
                                <w:p>
                                  <w:pPr>
                                    <w:pStyle w:val="TableContents"/>
                                    <w:bidi w:val="0"/>
                                    <w:spacing w:before="0" w:after="283"/>
                                    <w:ind w:left="0" w:right="0" w:firstLine="101"/>
                                    <w:jc w:val="left"/>
                                    <w:rPr>
                                      <w:sz w:val="4"/>
                                      <w:szCs w:val="4"/>
                                    </w:rPr>
                                  </w:pPr>
                                  <w:r>
                                    <w:rPr>
                                      <w:sz w:val="4"/>
                                      <w:szCs w:val="4"/>
                                    </w:rPr>
                                  </w:r>
                                </w:p>
                              </w:tc>
                            </w:tr>
                            <w:tr>
                              <w:trPr/>
                              <w:tc>
                                <w:tcPr>
                                  <w:tcW w:w="10205" w:type="dxa"/>
                                  <w:gridSpan w:val="3"/>
                                  <w:tcBorders>
                                    <w:top w:val="single" w:sz="12" w:space="0" w:color="7855FA"/>
                                    <w:left w:val="single" w:sz="12" w:space="0" w:color="7855FA"/>
                                    <w:right w:val="single" w:sz="12" w:space="0" w:color="7855FA"/>
                                  </w:tcBorders>
                                  <w:tcMar>
                                    <w:bottom w:w="0" w:type="dxa"/>
                                  </w:tcMar>
                                  <w:vAlign w:val="center"/>
                                </w:tcPr>
                                <w:p>
                                  <w:pPr>
                                    <w:pStyle w:val="TableContents"/>
                                    <w:bidi w:val="0"/>
                                    <w:spacing w:before="0" w:after="283"/>
                                    <w:ind w:left="0" w:right="0" w:firstLine="101"/>
                                    <w:jc w:val="left"/>
                                    <w:rPr>
                                      <w:rFonts w:ascii="Montserrat;Montserrat Medium;sans-serif" w:hAnsi="Montserrat;Montserrat Medium;sans-serif"/>
                                      <w:b/>
                                      <w:color w:val="7855FA"/>
                                      <w:sz w:val="18"/>
                                    </w:rPr>
                                  </w:pPr>
                                  <w:r>
                                    <w:rPr>
                                      <w:rFonts w:ascii="Montserrat;Montserrat Medium;sans-serif" w:hAnsi="Montserrat;Montserrat Medium;sans-serif"/>
                                      <w:b/>
                                      <w:color w:val="7855FA"/>
                                      <w:sz w:val="18"/>
                                    </w:rPr>
                                    <w:t>REVIEW THE PROXY STATEMENT AND VOTE IN ONE OF FOUR WAYS:</w:t>
                                  </w:r>
                                </w:p>
                              </w:tc>
                            </w:tr>
                            <w:tr>
                              <w:trPr/>
                              <w:tc>
                                <w:tcPr>
                                  <w:tcW w:w="1351" w:type="dxa"/>
                                  <w:tcBorders>
                                    <w:left w:val="single" w:sz="12" w:space="0" w:color="7855FA"/>
                                  </w:tcBorders>
                                  <w:tcMar>
                                    <w:top w:w="0" w:type="dxa"/>
                                    <w:bottom w:w="0" w:type="dxa"/>
                                    <w:right w:w="0" w:type="dxa"/>
                                  </w:tcMar>
                                  <w:vAlign w:val="center"/>
                                </w:tcPr>
                                <w:p>
                                  <w:pPr>
                                    <w:pStyle w:val="TableContents"/>
                                    <w:bidi w:val="0"/>
                                    <w:spacing w:before="0" w:after="283"/>
                                    <w:ind w:left="101" w:right="100" w:firstLine="101"/>
                                    <w:jc w:val="center"/>
                                    <w:rPr/>
                                  </w:pPr>
                                  <w:r>
                                    <w:rPr/>
                                    <w:drawing>
                                      <wp:inline distT="0" distB="0" distL="0" distR="0">
                                        <wp:extent cx="276225" cy="266700"/>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4"/>
                                                <a:stretch>
                                                  <a:fillRect/>
                                                </a:stretch>
                                              </pic:blipFill>
                                              <pic:spPr bwMode="auto">
                                                <a:xfrm>
                                                  <a:off x="0" y="0"/>
                                                  <a:ext cx="276225" cy="266700"/>
                                                </a:xfrm>
                                                <a:prstGeom prst="rect">
                                                  <a:avLst/>
                                                </a:prstGeom>
                                              </pic:spPr>
                                            </pic:pic>
                                          </a:graphicData>
                                        </a:graphic>
                                      </wp:inline>
                                    </w:drawing>
                                  </w:r>
                                </w:p>
                              </w:tc>
                              <w:tc>
                                <w:tcPr>
                                  <w:tcW w:w="452" w:type="dxa"/>
                                  <w:tcBorders/>
                                  <w:tcMar>
                                    <w:top w:w="0" w:type="dxa"/>
                                    <w:left w:w="0" w:type="dxa"/>
                                    <w:bottom w:w="0" w:type="dxa"/>
                                    <w:right w:w="0" w:type="dxa"/>
                                  </w:tcMar>
                                  <w:vAlign w:val="center"/>
                                </w:tcPr>
                                <w:p>
                                  <w:pPr>
                                    <w:pStyle w:val="TableContents"/>
                                    <w:bidi w:val="0"/>
                                    <w:spacing w:before="120" w:after="283"/>
                                    <w:ind w:left="0" w:right="0" w:firstLine="101"/>
                                    <w:jc w:val="left"/>
                                    <w:rPr/>
                                  </w:pPr>
                                  <w:r>
                                    <w:rPr/>
                                    <w:t> </w:t>
                                  </w:r>
                                </w:p>
                              </w:tc>
                              <w:tc>
                                <w:tcPr>
                                  <w:tcW w:w="8402" w:type="dxa"/>
                                  <w:tcBorders>
                                    <w:right w:val="single" w:sz="12" w:space="0" w:color="7855FA"/>
                                  </w:tcBorders>
                                  <w:tcMar>
                                    <w:top w:w="0" w:type="dxa"/>
                                    <w:left w:w="0" w:type="dxa"/>
                                    <w:bottom w:w="0" w:type="dxa"/>
                                  </w:tcMar>
                                  <w:vAlign w:val="center"/>
                                </w:tcPr>
                                <w:p>
                                  <w:pPr>
                                    <w:pStyle w:val="TableContents"/>
                                    <w:bidi w:val="0"/>
                                    <w:spacing w:before="100" w:after="283"/>
                                    <w:ind w:left="0" w:right="0" w:firstLine="101"/>
                                    <w:jc w:val="left"/>
                                    <w:rPr>
                                      <w:rFonts w:ascii="Montserrat;sans-serif" w:hAnsi="Montserrat;sans-serif"/>
                                      <w:sz w:val="18"/>
                                    </w:rPr>
                                  </w:pPr>
                                  <w:r>
                                    <w:rPr>
                                      <w:rFonts w:ascii="Montserrat;sans-serif" w:hAnsi="Montserrat;sans-serif"/>
                                      <w:b/>
                                      <w:color w:val="7855FA"/>
                                      <w:sz w:val="18"/>
                                    </w:rPr>
                                    <w:t>Internet</w:t>
                                  </w:r>
                                  <w:r>
                                    <w:rPr>
                                      <w:rFonts w:ascii="Montserrat;sans-serif" w:hAnsi="Montserrat;sans-serif"/>
                                      <w:color w:val="000000"/>
                                      <w:sz w:val="18"/>
                                    </w:rPr>
                                    <w:br/>
                                    <w:t>Visit the website listed on your proxy card</w:t>
                                  </w:r>
                                </w:p>
                              </w:tc>
                            </w:tr>
                            <w:tr>
                              <w:trPr/>
                              <w:tc>
                                <w:tcPr>
                                  <w:tcW w:w="1351" w:type="dxa"/>
                                  <w:tcBorders>
                                    <w:left w:val="single" w:sz="12" w:space="0" w:color="7855FA"/>
                                  </w:tcBorders>
                                  <w:tcMar>
                                    <w:top w:w="0" w:type="dxa"/>
                                    <w:bottom w:w="0" w:type="dxa"/>
                                    <w:right w:w="0" w:type="dxa"/>
                                  </w:tcMar>
                                  <w:vAlign w:val="center"/>
                                </w:tcPr>
                                <w:p>
                                  <w:pPr>
                                    <w:pStyle w:val="TableContents"/>
                                    <w:bidi w:val="0"/>
                                    <w:spacing w:before="0" w:after="283"/>
                                    <w:ind w:left="101" w:right="100" w:firstLine="101"/>
                                    <w:jc w:val="center"/>
                                    <w:rPr/>
                                  </w:pPr>
                                  <w:r>
                                    <w:rPr/>
                                    <w:drawing>
                                      <wp:inline distT="0" distB="0" distL="0" distR="0">
                                        <wp:extent cx="152400" cy="361950"/>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5"/>
                                                <a:stretch>
                                                  <a:fillRect/>
                                                </a:stretch>
                                              </pic:blipFill>
                                              <pic:spPr bwMode="auto">
                                                <a:xfrm>
                                                  <a:off x="0" y="0"/>
                                                  <a:ext cx="152400" cy="361950"/>
                                                </a:xfrm>
                                                <a:prstGeom prst="rect">
                                                  <a:avLst/>
                                                </a:prstGeom>
                                              </pic:spPr>
                                            </pic:pic>
                                          </a:graphicData>
                                        </a:graphic>
                                      </wp:inline>
                                    </w:drawing>
                                  </w:r>
                                </w:p>
                              </w:tc>
                              <w:tc>
                                <w:tcPr>
                                  <w:tcW w:w="452" w:type="dxa"/>
                                  <w:tcBorders/>
                                  <w:tcMar>
                                    <w:top w:w="0" w:type="dxa"/>
                                    <w:left w:w="0" w:type="dxa"/>
                                    <w:bottom w:w="0" w:type="dxa"/>
                                    <w:right w:w="0" w:type="dxa"/>
                                  </w:tcMar>
                                  <w:vAlign w:val="center"/>
                                </w:tcPr>
                                <w:p>
                                  <w:pPr>
                                    <w:pStyle w:val="TableContents"/>
                                    <w:bidi w:val="0"/>
                                    <w:spacing w:before="120" w:after="283"/>
                                    <w:ind w:left="0" w:right="0" w:firstLine="101"/>
                                    <w:jc w:val="left"/>
                                    <w:rPr/>
                                  </w:pPr>
                                  <w:r>
                                    <w:rPr/>
                                    <w:t> </w:t>
                                  </w:r>
                                </w:p>
                              </w:tc>
                              <w:tc>
                                <w:tcPr>
                                  <w:tcW w:w="8402" w:type="dxa"/>
                                  <w:tcBorders>
                                    <w:right w:val="single" w:sz="12" w:space="0" w:color="7855FA"/>
                                  </w:tcBorders>
                                  <w:tcMar>
                                    <w:top w:w="0" w:type="dxa"/>
                                    <w:left w:w="0" w:type="dxa"/>
                                    <w:bottom w:w="0" w:type="dxa"/>
                                  </w:tcMar>
                                  <w:vAlign w:val="center"/>
                                </w:tcPr>
                                <w:p>
                                  <w:pPr>
                                    <w:pStyle w:val="TableContents"/>
                                    <w:bidi w:val="0"/>
                                    <w:spacing w:before="100" w:after="283"/>
                                    <w:ind w:left="0" w:right="0" w:firstLine="101"/>
                                    <w:jc w:val="left"/>
                                    <w:rPr>
                                      <w:rFonts w:ascii="Montserrat;sans-serif" w:hAnsi="Montserrat;sans-serif"/>
                                      <w:sz w:val="18"/>
                                    </w:rPr>
                                  </w:pPr>
                                  <w:r>
                                    <w:rPr>
                                      <w:rFonts w:ascii="Montserrat;sans-serif" w:hAnsi="Montserrat;sans-serif"/>
                                      <w:b/>
                                      <w:color w:val="7855FA"/>
                                      <w:sz w:val="18"/>
                                    </w:rPr>
                                    <w:t>Telephone</w:t>
                                  </w:r>
                                  <w:r>
                                    <w:rPr>
                                      <w:rFonts w:ascii="Montserrat;sans-serif" w:hAnsi="Montserrat;sans-serif"/>
                                      <w:color w:val="000000"/>
                                      <w:sz w:val="18"/>
                                    </w:rPr>
                                    <w:br/>
                                    <w:t>Call the telephone number on your proxy card</w:t>
                                  </w:r>
                                </w:p>
                              </w:tc>
                            </w:tr>
                            <w:tr>
                              <w:trPr/>
                              <w:tc>
                                <w:tcPr>
                                  <w:tcW w:w="1351" w:type="dxa"/>
                                  <w:tcBorders>
                                    <w:left w:val="single" w:sz="12" w:space="0" w:color="7855FA"/>
                                  </w:tcBorders>
                                  <w:tcMar>
                                    <w:top w:w="0" w:type="dxa"/>
                                    <w:bottom w:w="0" w:type="dxa"/>
                                    <w:right w:w="0" w:type="dxa"/>
                                  </w:tcMar>
                                  <w:vAlign w:val="center"/>
                                </w:tcPr>
                                <w:p>
                                  <w:pPr>
                                    <w:pStyle w:val="TableContents"/>
                                    <w:bidi w:val="0"/>
                                    <w:spacing w:before="0" w:after="283"/>
                                    <w:ind w:left="101" w:right="100" w:firstLine="101"/>
                                    <w:jc w:val="center"/>
                                    <w:rPr/>
                                  </w:pPr>
                                  <w:r>
                                    <w:rPr/>
                                    <w:drawing>
                                      <wp:inline distT="0" distB="0" distL="0" distR="0">
                                        <wp:extent cx="266700" cy="314325"/>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16"/>
                                                <a:stretch>
                                                  <a:fillRect/>
                                                </a:stretch>
                                              </pic:blipFill>
                                              <pic:spPr bwMode="auto">
                                                <a:xfrm>
                                                  <a:off x="0" y="0"/>
                                                  <a:ext cx="266700" cy="314325"/>
                                                </a:xfrm>
                                                <a:prstGeom prst="rect">
                                                  <a:avLst/>
                                                </a:prstGeom>
                                              </pic:spPr>
                                            </pic:pic>
                                          </a:graphicData>
                                        </a:graphic>
                                      </wp:inline>
                                    </w:drawing>
                                  </w:r>
                                </w:p>
                              </w:tc>
                              <w:tc>
                                <w:tcPr>
                                  <w:tcW w:w="452" w:type="dxa"/>
                                  <w:tcBorders/>
                                  <w:tcMar>
                                    <w:top w:w="0" w:type="dxa"/>
                                    <w:left w:w="0" w:type="dxa"/>
                                    <w:bottom w:w="0" w:type="dxa"/>
                                    <w:right w:w="0" w:type="dxa"/>
                                  </w:tcMar>
                                  <w:vAlign w:val="center"/>
                                </w:tcPr>
                                <w:p>
                                  <w:pPr>
                                    <w:pStyle w:val="TableContents"/>
                                    <w:bidi w:val="0"/>
                                    <w:spacing w:before="120" w:after="283"/>
                                    <w:ind w:left="0" w:right="0" w:firstLine="101"/>
                                    <w:jc w:val="left"/>
                                    <w:rPr/>
                                  </w:pPr>
                                  <w:r>
                                    <w:rPr/>
                                    <w:t> </w:t>
                                  </w:r>
                                </w:p>
                              </w:tc>
                              <w:tc>
                                <w:tcPr>
                                  <w:tcW w:w="8402" w:type="dxa"/>
                                  <w:tcBorders>
                                    <w:right w:val="single" w:sz="12" w:space="0" w:color="7855FA"/>
                                  </w:tcBorders>
                                  <w:tcMar>
                                    <w:top w:w="0" w:type="dxa"/>
                                    <w:left w:w="0" w:type="dxa"/>
                                    <w:bottom w:w="0" w:type="dxa"/>
                                  </w:tcMar>
                                  <w:vAlign w:val="center"/>
                                </w:tcPr>
                                <w:p>
                                  <w:pPr>
                                    <w:pStyle w:val="TableContents"/>
                                    <w:bidi w:val="0"/>
                                    <w:spacing w:before="100" w:after="283"/>
                                    <w:ind w:left="0" w:right="0" w:firstLine="101"/>
                                    <w:jc w:val="left"/>
                                    <w:rPr>
                                      <w:rFonts w:ascii="Montserrat;sans-serif" w:hAnsi="Montserrat;sans-serif"/>
                                      <w:sz w:val="18"/>
                                    </w:rPr>
                                  </w:pPr>
                                  <w:r>
                                    <w:rPr>
                                      <w:rFonts w:ascii="Montserrat;sans-serif" w:hAnsi="Montserrat;sans-serif"/>
                                      <w:b/>
                                      <w:color w:val="7855FA"/>
                                      <w:sz w:val="18"/>
                                    </w:rPr>
                                    <w:t>Mail</w:t>
                                  </w:r>
                                  <w:r>
                                    <w:rPr>
                                      <w:rFonts w:ascii="Montserrat;sans-serif" w:hAnsi="Montserrat;sans-serif"/>
                                      <w:color w:val="000000"/>
                                      <w:sz w:val="18"/>
                                    </w:rPr>
                                    <w:br/>
                                    <w:t>Sign, date, and return your proxy card in the enclosed envelope</w:t>
                                  </w:r>
                                </w:p>
                              </w:tc>
                            </w:tr>
                            <w:tr>
                              <w:trPr/>
                              <w:tc>
                                <w:tcPr>
                                  <w:tcW w:w="1351" w:type="dxa"/>
                                  <w:tcBorders>
                                    <w:left w:val="single" w:sz="12" w:space="0" w:color="7855FA"/>
                                  </w:tcBorders>
                                  <w:tcMar>
                                    <w:top w:w="0" w:type="dxa"/>
                                    <w:bottom w:w="0" w:type="dxa"/>
                                    <w:right w:w="0" w:type="dxa"/>
                                  </w:tcMar>
                                  <w:vAlign w:val="center"/>
                                </w:tcPr>
                                <w:p>
                                  <w:pPr>
                                    <w:pStyle w:val="TableContents"/>
                                    <w:bidi w:val="0"/>
                                    <w:spacing w:before="100" w:after="100"/>
                                    <w:ind w:left="101" w:right="100" w:firstLine="101"/>
                                    <w:jc w:val="center"/>
                                    <w:rPr/>
                                  </w:pPr>
                                  <w:r>
                                    <w:rPr/>
                                    <w:drawing>
                                      <wp:inline distT="0" distB="0" distL="0" distR="0">
                                        <wp:extent cx="190500" cy="285750"/>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17"/>
                                                <a:stretch>
                                                  <a:fillRect/>
                                                </a:stretch>
                                              </pic:blipFill>
                                              <pic:spPr bwMode="auto">
                                                <a:xfrm>
                                                  <a:off x="0" y="0"/>
                                                  <a:ext cx="190500" cy="285750"/>
                                                </a:xfrm>
                                                <a:prstGeom prst="rect">
                                                  <a:avLst/>
                                                </a:prstGeom>
                                              </pic:spPr>
                                            </pic:pic>
                                          </a:graphicData>
                                        </a:graphic>
                                      </wp:inline>
                                    </w:drawing>
                                  </w:r>
                                </w:p>
                              </w:tc>
                              <w:tc>
                                <w:tcPr>
                                  <w:tcW w:w="452" w:type="dxa"/>
                                  <w:tcBorders/>
                                  <w:tcMar>
                                    <w:top w:w="0" w:type="dxa"/>
                                    <w:left w:w="0" w:type="dxa"/>
                                    <w:bottom w:w="0" w:type="dxa"/>
                                    <w:right w:w="0" w:type="dxa"/>
                                  </w:tcMar>
                                  <w:vAlign w:val="center"/>
                                </w:tcPr>
                                <w:p>
                                  <w:pPr>
                                    <w:pStyle w:val="TableContents"/>
                                    <w:bidi w:val="0"/>
                                    <w:spacing w:before="120" w:after="283"/>
                                    <w:ind w:left="0" w:right="0" w:firstLine="101"/>
                                    <w:jc w:val="left"/>
                                    <w:rPr/>
                                  </w:pPr>
                                  <w:r>
                                    <w:rPr/>
                                    <w:t> </w:t>
                                  </w:r>
                                </w:p>
                              </w:tc>
                              <w:tc>
                                <w:tcPr>
                                  <w:tcW w:w="8402" w:type="dxa"/>
                                  <w:tcBorders>
                                    <w:right w:val="single" w:sz="12" w:space="0" w:color="7855FA"/>
                                  </w:tcBorders>
                                  <w:tcMar>
                                    <w:top w:w="0" w:type="dxa"/>
                                    <w:left w:w="0" w:type="dxa"/>
                                    <w:bottom w:w="0" w:type="dxa"/>
                                  </w:tcMar>
                                  <w:vAlign w:val="center"/>
                                </w:tcPr>
                                <w:p>
                                  <w:pPr>
                                    <w:pStyle w:val="TableContents"/>
                                    <w:bidi w:val="0"/>
                                    <w:spacing w:before="100" w:after="100"/>
                                    <w:ind w:left="0" w:right="0" w:firstLine="144"/>
                                    <w:jc w:val="left"/>
                                    <w:rPr>
                                      <w:rFonts w:ascii="Montserrat;sans-serif" w:hAnsi="Montserrat;sans-serif"/>
                                      <w:sz w:val="18"/>
                                    </w:rPr>
                                  </w:pPr>
                                  <w:r>
                                    <w:rPr>
                                      <w:rFonts w:ascii="Montserrat;sans-serif" w:hAnsi="Montserrat;sans-serif"/>
                                      <w:b/>
                                      <w:color w:val="7855FA"/>
                                      <w:sz w:val="18"/>
                                    </w:rPr>
                                    <w:t>Vote during the Meeting</w:t>
                                  </w:r>
                                  <w:r>
                                    <w:rPr>
                                      <w:rFonts w:ascii="Montserrat;sans-serif" w:hAnsi="Montserrat;sans-serif"/>
                                      <w:color w:val="000000"/>
                                      <w:sz w:val="18"/>
                                    </w:rPr>
                                    <w:br/>
                                    <w:t>Vote online during the Annual Meeting</w:t>
                                  </w:r>
                                </w:p>
                              </w:tc>
                            </w:tr>
                            <w:tr>
                              <w:trPr/>
                              <w:tc>
                                <w:tcPr>
                                  <w:tcW w:w="10205" w:type="dxa"/>
                                  <w:gridSpan w:val="3"/>
                                  <w:tcBorders>
                                    <w:left w:val="single" w:sz="12" w:space="0" w:color="7855FA"/>
                                    <w:bottom w:val="single" w:sz="12" w:space="0" w:color="7855FA"/>
                                    <w:right w:val="single" w:sz="12" w:space="0" w:color="7855FA"/>
                                  </w:tcBorders>
                                  <w:shd w:fill="7855FA" w:val="clear"/>
                                  <w:tcMar>
                                    <w:top w:w="0" w:type="dxa"/>
                                  </w:tcMar>
                                  <w:vAlign w:val="center"/>
                                </w:tcPr>
                                <w:p>
                                  <w:pPr>
                                    <w:pStyle w:val="TableContents"/>
                                    <w:bidi w:val="0"/>
                                    <w:spacing w:before="120" w:after="120"/>
                                    <w:ind w:left="144" w:right="144" w:firstLine="144"/>
                                    <w:jc w:val="left"/>
                                    <w:rPr>
                                      <w:rFonts w:ascii="Montserrat;sans-serif" w:hAnsi="Montserrat;sans-serif"/>
                                      <w:color w:val="FFFFFF"/>
                                      <w:sz w:val="18"/>
                                    </w:rPr>
                                  </w:pPr>
                                  <w:r>
                                    <w:rPr>
                                      <w:rFonts w:ascii="Montserrat;sans-serif" w:hAnsi="Montserrat;sans-serif"/>
                                      <w:color w:val="FFFFFF"/>
                                      <w:sz w:val="18"/>
                                    </w:rPr>
                                    <w:t>Important Notice Regarding the Availability of Proxy Materials for the Annual Meeting of Stockholders to be Held on December 11, 2026: This Notice, the Proxy Statement and the Annual Report are available at www.proxyvote.com.</w:t>
                                  </w:r>
                                </w:p>
                              </w:tc>
                            </w:tr>
                          </w:tbl>
                          <w:p>
                            <w:pPr>
                              <w:pStyle w:val="TextBody"/>
                              <w:bidi w:val="0"/>
                              <w:spacing w:before="120" w:after="283"/>
                              <w:ind w:left="144" w:right="144" w:hanging="0"/>
                              <w:jc w:val="left"/>
                              <w:rPr/>
                            </w:pPr>
                            <w:r>
                              <w:rPr/>
                              <w:t> </w:t>
                            </w:r>
                          </w:p>
                          <w:p>
                            <w:pPr>
                              <w:pStyle w:val="TextBody"/>
                              <w:bidi w:val="0"/>
                              <w:spacing w:before="120" w:after="283"/>
                              <w:jc w:val="both"/>
                              <w:rPr/>
                            </w:pPr>
                            <w:r>
                              <w:rPr/>
                              <w:t> </w:t>
                            </w:r>
                          </w:p>
                        </w:txbxContent>
                      </wps:txbx>
                      <wps:bodyPr anchor="t" lIns="0" tIns="0" rIns="0" bIns="0">
                        <a:noAutofit/>
                      </wps:bodyPr>
                    </wps:wsp>
                  </a:graphicData>
                </a:graphic>
              </wp:anchor>
            </w:drawing>
          </mc:Choice>
          <mc:Fallback>
            <w:pict>
              <v:rect style="position:absolute;rotation:-0;width:192.7pt;height:400.6pt;mso-wrap-distance-left:0pt;mso-wrap-distance-right:0pt;mso-wrap-distance-top:0pt;mso-wrap-distance-bottom:0pt;margin-top:208.5pt;mso-position-vertical-relative:page;margin-left:383.25pt;mso-position-horizontal-relative:page">
                <v:textbox inset="0in,0in,0in,0in">
                  <w:txbxContent>
                    <w:p>
                      <w:pPr>
                        <w:pStyle w:val="TextBody"/>
                        <w:bidi w:val="0"/>
                        <w:spacing w:before="120" w:after="283"/>
                        <w:jc w:val="left"/>
                        <w:rPr>
                          <w:rFonts w:ascii="Montserrat;sans-serif" w:hAnsi="Montserrat;sans-serif"/>
                          <w:b/>
                          <w:color w:val="7855FA"/>
                          <w:sz w:val="18"/>
                        </w:rPr>
                      </w:pPr>
                      <w:r>
                        <w:rPr>
                          <w:rFonts w:ascii="Montserrat;sans-serif" w:hAnsi="Montserrat;sans-serif"/>
                          <w:b/>
                          <w:color w:val="7855FA"/>
                          <w:sz w:val="18"/>
                        </w:rPr>
                        <w:t>To Be Held Virtually on Friday, December 11, 2026</w:t>
                      </w:r>
                    </w:p>
                    <w:p>
                      <w:pPr>
                        <w:pStyle w:val="TextBody"/>
                        <w:bidi w:val="0"/>
                        <w:spacing w:before="60" w:after="283"/>
                        <w:jc w:val="both"/>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at 9:00 a.m., Pacific Time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351"/>
                        <w:gridCol w:w="452"/>
                        <w:gridCol w:w="8402"/>
                      </w:tblGrid>
                      <w:tr>
                        <w:trPr/>
                        <w:tc>
                          <w:tcPr>
                            <w:tcW w:w="13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8402" w:type="dxa"/>
                            <w:tcBorders/>
                            <w:vAlign w:val="center"/>
                          </w:tcPr>
                          <w:p>
                            <w:pPr>
                              <w:pStyle w:val="TableContents"/>
                              <w:bidi w:val="0"/>
                              <w:spacing w:before="0" w:after="283"/>
                              <w:ind w:left="0" w:right="0" w:firstLine="101"/>
                              <w:jc w:val="left"/>
                              <w:rPr>
                                <w:sz w:val="4"/>
                                <w:szCs w:val="4"/>
                              </w:rPr>
                            </w:pPr>
                            <w:r>
                              <w:rPr>
                                <w:sz w:val="4"/>
                                <w:szCs w:val="4"/>
                              </w:rPr>
                            </w:r>
                          </w:p>
                        </w:tc>
                      </w:tr>
                      <w:tr>
                        <w:trPr/>
                        <w:tc>
                          <w:tcPr>
                            <w:tcW w:w="10205" w:type="dxa"/>
                            <w:gridSpan w:val="3"/>
                            <w:tcBorders>
                              <w:top w:val="single" w:sz="12" w:space="0" w:color="7855FA"/>
                              <w:left w:val="single" w:sz="12" w:space="0" w:color="7855FA"/>
                              <w:right w:val="single" w:sz="12" w:space="0" w:color="7855FA"/>
                            </w:tcBorders>
                            <w:tcMar>
                              <w:bottom w:w="0" w:type="dxa"/>
                            </w:tcMar>
                            <w:vAlign w:val="center"/>
                          </w:tcPr>
                          <w:p>
                            <w:pPr>
                              <w:pStyle w:val="TableContents"/>
                              <w:bidi w:val="0"/>
                              <w:spacing w:before="0" w:after="283"/>
                              <w:ind w:left="0" w:right="0" w:firstLine="101"/>
                              <w:jc w:val="left"/>
                              <w:rPr>
                                <w:rFonts w:ascii="Montserrat;Montserrat Medium;sans-serif" w:hAnsi="Montserrat;Montserrat Medium;sans-serif"/>
                                <w:b/>
                                <w:color w:val="7855FA"/>
                                <w:sz w:val="18"/>
                              </w:rPr>
                            </w:pPr>
                            <w:r>
                              <w:rPr>
                                <w:rFonts w:ascii="Montserrat;Montserrat Medium;sans-serif" w:hAnsi="Montserrat;Montserrat Medium;sans-serif"/>
                                <w:b/>
                                <w:color w:val="7855FA"/>
                                <w:sz w:val="18"/>
                              </w:rPr>
                              <w:t>REVIEW THE PROXY STATEMENT AND VOTE IN ONE OF FOUR WAYS:</w:t>
                            </w:r>
                          </w:p>
                        </w:tc>
                      </w:tr>
                      <w:tr>
                        <w:trPr/>
                        <w:tc>
                          <w:tcPr>
                            <w:tcW w:w="1351" w:type="dxa"/>
                            <w:tcBorders>
                              <w:left w:val="single" w:sz="12" w:space="0" w:color="7855FA"/>
                            </w:tcBorders>
                            <w:tcMar>
                              <w:top w:w="0" w:type="dxa"/>
                              <w:bottom w:w="0" w:type="dxa"/>
                              <w:right w:w="0" w:type="dxa"/>
                            </w:tcMar>
                            <w:vAlign w:val="center"/>
                          </w:tcPr>
                          <w:p>
                            <w:pPr>
                              <w:pStyle w:val="TableContents"/>
                              <w:bidi w:val="0"/>
                              <w:spacing w:before="0" w:after="283"/>
                              <w:ind w:left="101" w:right="100" w:firstLine="101"/>
                              <w:jc w:val="center"/>
                              <w:rPr/>
                            </w:pPr>
                            <w:r>
                              <w:rPr/>
                              <w:drawing>
                                <wp:inline distT="0" distB="0" distL="0" distR="0">
                                  <wp:extent cx="276225" cy="266700"/>
                                  <wp:effectExtent l="0" t="0" r="0" b="0"/>
                                  <wp:docPr id="2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7" descr=""/>
                                          <pic:cNvPicPr>
                                            <a:picLocks noChangeAspect="1" noChangeArrowheads="1"/>
                                          </pic:cNvPicPr>
                                        </pic:nvPicPr>
                                        <pic:blipFill>
                                          <a:blip r:embed="rId18"/>
                                          <a:stretch>
                                            <a:fillRect/>
                                          </a:stretch>
                                        </pic:blipFill>
                                        <pic:spPr bwMode="auto">
                                          <a:xfrm>
                                            <a:off x="0" y="0"/>
                                            <a:ext cx="276225" cy="266700"/>
                                          </a:xfrm>
                                          <a:prstGeom prst="rect">
                                            <a:avLst/>
                                          </a:prstGeom>
                                        </pic:spPr>
                                      </pic:pic>
                                    </a:graphicData>
                                  </a:graphic>
                                </wp:inline>
                              </w:drawing>
                            </w:r>
                          </w:p>
                        </w:tc>
                        <w:tc>
                          <w:tcPr>
                            <w:tcW w:w="452" w:type="dxa"/>
                            <w:tcBorders/>
                            <w:tcMar>
                              <w:top w:w="0" w:type="dxa"/>
                              <w:left w:w="0" w:type="dxa"/>
                              <w:bottom w:w="0" w:type="dxa"/>
                              <w:right w:w="0" w:type="dxa"/>
                            </w:tcMar>
                            <w:vAlign w:val="center"/>
                          </w:tcPr>
                          <w:p>
                            <w:pPr>
                              <w:pStyle w:val="TableContents"/>
                              <w:bidi w:val="0"/>
                              <w:spacing w:before="120" w:after="283"/>
                              <w:ind w:left="0" w:right="0" w:firstLine="101"/>
                              <w:jc w:val="left"/>
                              <w:rPr/>
                            </w:pPr>
                            <w:r>
                              <w:rPr/>
                              <w:t> </w:t>
                            </w:r>
                          </w:p>
                        </w:tc>
                        <w:tc>
                          <w:tcPr>
                            <w:tcW w:w="8402" w:type="dxa"/>
                            <w:tcBorders>
                              <w:right w:val="single" w:sz="12" w:space="0" w:color="7855FA"/>
                            </w:tcBorders>
                            <w:tcMar>
                              <w:top w:w="0" w:type="dxa"/>
                              <w:left w:w="0" w:type="dxa"/>
                              <w:bottom w:w="0" w:type="dxa"/>
                            </w:tcMar>
                            <w:vAlign w:val="center"/>
                          </w:tcPr>
                          <w:p>
                            <w:pPr>
                              <w:pStyle w:val="TableContents"/>
                              <w:bidi w:val="0"/>
                              <w:spacing w:before="100" w:after="283"/>
                              <w:ind w:left="0" w:right="0" w:firstLine="101"/>
                              <w:jc w:val="left"/>
                              <w:rPr>
                                <w:rFonts w:ascii="Montserrat;sans-serif" w:hAnsi="Montserrat;sans-serif"/>
                                <w:sz w:val="18"/>
                              </w:rPr>
                            </w:pPr>
                            <w:r>
                              <w:rPr>
                                <w:rFonts w:ascii="Montserrat;sans-serif" w:hAnsi="Montserrat;sans-serif"/>
                                <w:b/>
                                <w:color w:val="7855FA"/>
                                <w:sz w:val="18"/>
                              </w:rPr>
                              <w:t>Internet</w:t>
                            </w:r>
                            <w:r>
                              <w:rPr>
                                <w:rFonts w:ascii="Montserrat;sans-serif" w:hAnsi="Montserrat;sans-serif"/>
                                <w:color w:val="000000"/>
                                <w:sz w:val="18"/>
                              </w:rPr>
                              <w:br/>
                              <w:t>Visit the website listed on your proxy card</w:t>
                            </w:r>
                          </w:p>
                        </w:tc>
                      </w:tr>
                      <w:tr>
                        <w:trPr/>
                        <w:tc>
                          <w:tcPr>
                            <w:tcW w:w="1351" w:type="dxa"/>
                            <w:tcBorders>
                              <w:left w:val="single" w:sz="12" w:space="0" w:color="7855FA"/>
                            </w:tcBorders>
                            <w:tcMar>
                              <w:top w:w="0" w:type="dxa"/>
                              <w:bottom w:w="0" w:type="dxa"/>
                              <w:right w:w="0" w:type="dxa"/>
                            </w:tcMar>
                            <w:vAlign w:val="center"/>
                          </w:tcPr>
                          <w:p>
                            <w:pPr>
                              <w:pStyle w:val="TableContents"/>
                              <w:bidi w:val="0"/>
                              <w:spacing w:before="0" w:after="283"/>
                              <w:ind w:left="101" w:right="100" w:firstLine="101"/>
                              <w:jc w:val="center"/>
                              <w:rPr/>
                            </w:pPr>
                            <w:r>
                              <w:rPr/>
                              <w:drawing>
                                <wp:inline distT="0" distB="0" distL="0" distR="0">
                                  <wp:extent cx="152400" cy="361950"/>
                                  <wp:effectExtent l="0" t="0" r="0" b="0"/>
                                  <wp:docPr id="2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8" descr=""/>
                                          <pic:cNvPicPr>
                                            <a:picLocks noChangeAspect="1" noChangeArrowheads="1"/>
                                          </pic:cNvPicPr>
                                        </pic:nvPicPr>
                                        <pic:blipFill>
                                          <a:blip r:embed="rId19"/>
                                          <a:stretch>
                                            <a:fillRect/>
                                          </a:stretch>
                                        </pic:blipFill>
                                        <pic:spPr bwMode="auto">
                                          <a:xfrm>
                                            <a:off x="0" y="0"/>
                                            <a:ext cx="152400" cy="361950"/>
                                          </a:xfrm>
                                          <a:prstGeom prst="rect">
                                            <a:avLst/>
                                          </a:prstGeom>
                                        </pic:spPr>
                                      </pic:pic>
                                    </a:graphicData>
                                  </a:graphic>
                                </wp:inline>
                              </w:drawing>
                            </w:r>
                          </w:p>
                        </w:tc>
                        <w:tc>
                          <w:tcPr>
                            <w:tcW w:w="452" w:type="dxa"/>
                            <w:tcBorders/>
                            <w:tcMar>
                              <w:top w:w="0" w:type="dxa"/>
                              <w:left w:w="0" w:type="dxa"/>
                              <w:bottom w:w="0" w:type="dxa"/>
                              <w:right w:w="0" w:type="dxa"/>
                            </w:tcMar>
                            <w:vAlign w:val="center"/>
                          </w:tcPr>
                          <w:p>
                            <w:pPr>
                              <w:pStyle w:val="TableContents"/>
                              <w:bidi w:val="0"/>
                              <w:spacing w:before="120" w:after="283"/>
                              <w:ind w:left="0" w:right="0" w:firstLine="101"/>
                              <w:jc w:val="left"/>
                              <w:rPr/>
                            </w:pPr>
                            <w:r>
                              <w:rPr/>
                              <w:t> </w:t>
                            </w:r>
                          </w:p>
                        </w:tc>
                        <w:tc>
                          <w:tcPr>
                            <w:tcW w:w="8402" w:type="dxa"/>
                            <w:tcBorders>
                              <w:right w:val="single" w:sz="12" w:space="0" w:color="7855FA"/>
                            </w:tcBorders>
                            <w:tcMar>
                              <w:top w:w="0" w:type="dxa"/>
                              <w:left w:w="0" w:type="dxa"/>
                              <w:bottom w:w="0" w:type="dxa"/>
                            </w:tcMar>
                            <w:vAlign w:val="center"/>
                          </w:tcPr>
                          <w:p>
                            <w:pPr>
                              <w:pStyle w:val="TableContents"/>
                              <w:bidi w:val="0"/>
                              <w:spacing w:before="100" w:after="283"/>
                              <w:ind w:left="0" w:right="0" w:firstLine="101"/>
                              <w:jc w:val="left"/>
                              <w:rPr>
                                <w:rFonts w:ascii="Montserrat;sans-serif" w:hAnsi="Montserrat;sans-serif"/>
                                <w:sz w:val="18"/>
                              </w:rPr>
                            </w:pPr>
                            <w:r>
                              <w:rPr>
                                <w:rFonts w:ascii="Montserrat;sans-serif" w:hAnsi="Montserrat;sans-serif"/>
                                <w:b/>
                                <w:color w:val="7855FA"/>
                                <w:sz w:val="18"/>
                              </w:rPr>
                              <w:t>Telephone</w:t>
                            </w:r>
                            <w:r>
                              <w:rPr>
                                <w:rFonts w:ascii="Montserrat;sans-serif" w:hAnsi="Montserrat;sans-serif"/>
                                <w:color w:val="000000"/>
                                <w:sz w:val="18"/>
                              </w:rPr>
                              <w:br/>
                              <w:t>Call the telephone number on your proxy card</w:t>
                            </w:r>
                          </w:p>
                        </w:tc>
                      </w:tr>
                      <w:tr>
                        <w:trPr/>
                        <w:tc>
                          <w:tcPr>
                            <w:tcW w:w="1351" w:type="dxa"/>
                            <w:tcBorders>
                              <w:left w:val="single" w:sz="12" w:space="0" w:color="7855FA"/>
                            </w:tcBorders>
                            <w:tcMar>
                              <w:top w:w="0" w:type="dxa"/>
                              <w:bottom w:w="0" w:type="dxa"/>
                              <w:right w:w="0" w:type="dxa"/>
                            </w:tcMar>
                            <w:vAlign w:val="center"/>
                          </w:tcPr>
                          <w:p>
                            <w:pPr>
                              <w:pStyle w:val="TableContents"/>
                              <w:bidi w:val="0"/>
                              <w:spacing w:before="0" w:after="283"/>
                              <w:ind w:left="101" w:right="100" w:firstLine="101"/>
                              <w:jc w:val="center"/>
                              <w:rPr/>
                            </w:pPr>
                            <w:r>
                              <w:rPr/>
                              <w:drawing>
                                <wp:inline distT="0" distB="0" distL="0" distR="0">
                                  <wp:extent cx="266700" cy="314325"/>
                                  <wp:effectExtent l="0" t="0" r="0" b="0"/>
                                  <wp:docPr id="2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9" descr=""/>
                                          <pic:cNvPicPr>
                                            <a:picLocks noChangeAspect="1" noChangeArrowheads="1"/>
                                          </pic:cNvPicPr>
                                        </pic:nvPicPr>
                                        <pic:blipFill>
                                          <a:blip r:embed="rId20"/>
                                          <a:stretch>
                                            <a:fillRect/>
                                          </a:stretch>
                                        </pic:blipFill>
                                        <pic:spPr bwMode="auto">
                                          <a:xfrm>
                                            <a:off x="0" y="0"/>
                                            <a:ext cx="266700" cy="314325"/>
                                          </a:xfrm>
                                          <a:prstGeom prst="rect">
                                            <a:avLst/>
                                          </a:prstGeom>
                                        </pic:spPr>
                                      </pic:pic>
                                    </a:graphicData>
                                  </a:graphic>
                                </wp:inline>
                              </w:drawing>
                            </w:r>
                          </w:p>
                        </w:tc>
                        <w:tc>
                          <w:tcPr>
                            <w:tcW w:w="452" w:type="dxa"/>
                            <w:tcBorders/>
                            <w:tcMar>
                              <w:top w:w="0" w:type="dxa"/>
                              <w:left w:w="0" w:type="dxa"/>
                              <w:bottom w:w="0" w:type="dxa"/>
                              <w:right w:w="0" w:type="dxa"/>
                            </w:tcMar>
                            <w:vAlign w:val="center"/>
                          </w:tcPr>
                          <w:p>
                            <w:pPr>
                              <w:pStyle w:val="TableContents"/>
                              <w:bidi w:val="0"/>
                              <w:spacing w:before="120" w:after="283"/>
                              <w:ind w:left="0" w:right="0" w:firstLine="101"/>
                              <w:jc w:val="left"/>
                              <w:rPr/>
                            </w:pPr>
                            <w:r>
                              <w:rPr/>
                              <w:t> </w:t>
                            </w:r>
                          </w:p>
                        </w:tc>
                        <w:tc>
                          <w:tcPr>
                            <w:tcW w:w="8402" w:type="dxa"/>
                            <w:tcBorders>
                              <w:right w:val="single" w:sz="12" w:space="0" w:color="7855FA"/>
                            </w:tcBorders>
                            <w:tcMar>
                              <w:top w:w="0" w:type="dxa"/>
                              <w:left w:w="0" w:type="dxa"/>
                              <w:bottom w:w="0" w:type="dxa"/>
                            </w:tcMar>
                            <w:vAlign w:val="center"/>
                          </w:tcPr>
                          <w:p>
                            <w:pPr>
                              <w:pStyle w:val="TableContents"/>
                              <w:bidi w:val="0"/>
                              <w:spacing w:before="100" w:after="283"/>
                              <w:ind w:left="0" w:right="0" w:firstLine="101"/>
                              <w:jc w:val="left"/>
                              <w:rPr>
                                <w:rFonts w:ascii="Montserrat;sans-serif" w:hAnsi="Montserrat;sans-serif"/>
                                <w:sz w:val="18"/>
                              </w:rPr>
                            </w:pPr>
                            <w:r>
                              <w:rPr>
                                <w:rFonts w:ascii="Montserrat;sans-serif" w:hAnsi="Montserrat;sans-serif"/>
                                <w:b/>
                                <w:color w:val="7855FA"/>
                                <w:sz w:val="18"/>
                              </w:rPr>
                              <w:t>Mail</w:t>
                            </w:r>
                            <w:r>
                              <w:rPr>
                                <w:rFonts w:ascii="Montserrat;sans-serif" w:hAnsi="Montserrat;sans-serif"/>
                                <w:color w:val="000000"/>
                                <w:sz w:val="18"/>
                              </w:rPr>
                              <w:br/>
                              <w:t>Sign, date, and return your proxy card in the enclosed envelope</w:t>
                            </w:r>
                          </w:p>
                        </w:tc>
                      </w:tr>
                      <w:tr>
                        <w:trPr/>
                        <w:tc>
                          <w:tcPr>
                            <w:tcW w:w="1351" w:type="dxa"/>
                            <w:tcBorders>
                              <w:left w:val="single" w:sz="12" w:space="0" w:color="7855FA"/>
                            </w:tcBorders>
                            <w:tcMar>
                              <w:top w:w="0" w:type="dxa"/>
                              <w:bottom w:w="0" w:type="dxa"/>
                              <w:right w:w="0" w:type="dxa"/>
                            </w:tcMar>
                            <w:vAlign w:val="center"/>
                          </w:tcPr>
                          <w:p>
                            <w:pPr>
                              <w:pStyle w:val="TableContents"/>
                              <w:bidi w:val="0"/>
                              <w:spacing w:before="100" w:after="100"/>
                              <w:ind w:left="101" w:right="100" w:firstLine="101"/>
                              <w:jc w:val="center"/>
                              <w:rPr/>
                            </w:pPr>
                            <w:r>
                              <w:rPr/>
                              <w:drawing>
                                <wp:inline distT="0" distB="0" distL="0" distR="0">
                                  <wp:extent cx="190500" cy="285750"/>
                                  <wp:effectExtent l="0" t="0" r="0" b="0"/>
                                  <wp:docPr id="2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0" descr=""/>
                                          <pic:cNvPicPr>
                                            <a:picLocks noChangeAspect="1" noChangeArrowheads="1"/>
                                          </pic:cNvPicPr>
                                        </pic:nvPicPr>
                                        <pic:blipFill>
                                          <a:blip r:embed="rId21"/>
                                          <a:stretch>
                                            <a:fillRect/>
                                          </a:stretch>
                                        </pic:blipFill>
                                        <pic:spPr bwMode="auto">
                                          <a:xfrm>
                                            <a:off x="0" y="0"/>
                                            <a:ext cx="190500" cy="285750"/>
                                          </a:xfrm>
                                          <a:prstGeom prst="rect">
                                            <a:avLst/>
                                          </a:prstGeom>
                                        </pic:spPr>
                                      </pic:pic>
                                    </a:graphicData>
                                  </a:graphic>
                                </wp:inline>
                              </w:drawing>
                            </w:r>
                          </w:p>
                        </w:tc>
                        <w:tc>
                          <w:tcPr>
                            <w:tcW w:w="452" w:type="dxa"/>
                            <w:tcBorders/>
                            <w:tcMar>
                              <w:top w:w="0" w:type="dxa"/>
                              <w:left w:w="0" w:type="dxa"/>
                              <w:bottom w:w="0" w:type="dxa"/>
                              <w:right w:w="0" w:type="dxa"/>
                            </w:tcMar>
                            <w:vAlign w:val="center"/>
                          </w:tcPr>
                          <w:p>
                            <w:pPr>
                              <w:pStyle w:val="TableContents"/>
                              <w:bidi w:val="0"/>
                              <w:spacing w:before="120" w:after="283"/>
                              <w:ind w:left="0" w:right="0" w:firstLine="101"/>
                              <w:jc w:val="left"/>
                              <w:rPr/>
                            </w:pPr>
                            <w:r>
                              <w:rPr/>
                              <w:t> </w:t>
                            </w:r>
                          </w:p>
                        </w:tc>
                        <w:tc>
                          <w:tcPr>
                            <w:tcW w:w="8402" w:type="dxa"/>
                            <w:tcBorders>
                              <w:right w:val="single" w:sz="12" w:space="0" w:color="7855FA"/>
                            </w:tcBorders>
                            <w:tcMar>
                              <w:top w:w="0" w:type="dxa"/>
                              <w:left w:w="0" w:type="dxa"/>
                              <w:bottom w:w="0" w:type="dxa"/>
                            </w:tcMar>
                            <w:vAlign w:val="center"/>
                          </w:tcPr>
                          <w:p>
                            <w:pPr>
                              <w:pStyle w:val="TableContents"/>
                              <w:bidi w:val="0"/>
                              <w:spacing w:before="100" w:after="100"/>
                              <w:ind w:left="0" w:right="0" w:firstLine="144"/>
                              <w:jc w:val="left"/>
                              <w:rPr>
                                <w:rFonts w:ascii="Montserrat;sans-serif" w:hAnsi="Montserrat;sans-serif"/>
                                <w:sz w:val="18"/>
                              </w:rPr>
                            </w:pPr>
                            <w:r>
                              <w:rPr>
                                <w:rFonts w:ascii="Montserrat;sans-serif" w:hAnsi="Montserrat;sans-serif"/>
                                <w:b/>
                                <w:color w:val="7855FA"/>
                                <w:sz w:val="18"/>
                              </w:rPr>
                              <w:t>Vote during the Meeting</w:t>
                            </w:r>
                            <w:r>
                              <w:rPr>
                                <w:rFonts w:ascii="Montserrat;sans-serif" w:hAnsi="Montserrat;sans-serif"/>
                                <w:color w:val="000000"/>
                                <w:sz w:val="18"/>
                              </w:rPr>
                              <w:br/>
                              <w:t>Vote online during the Annual Meeting</w:t>
                            </w:r>
                          </w:p>
                        </w:tc>
                      </w:tr>
                      <w:tr>
                        <w:trPr/>
                        <w:tc>
                          <w:tcPr>
                            <w:tcW w:w="10205" w:type="dxa"/>
                            <w:gridSpan w:val="3"/>
                            <w:tcBorders>
                              <w:left w:val="single" w:sz="12" w:space="0" w:color="7855FA"/>
                              <w:bottom w:val="single" w:sz="12" w:space="0" w:color="7855FA"/>
                              <w:right w:val="single" w:sz="12" w:space="0" w:color="7855FA"/>
                            </w:tcBorders>
                            <w:shd w:fill="7855FA" w:val="clear"/>
                            <w:tcMar>
                              <w:top w:w="0" w:type="dxa"/>
                            </w:tcMar>
                            <w:vAlign w:val="center"/>
                          </w:tcPr>
                          <w:p>
                            <w:pPr>
                              <w:pStyle w:val="TableContents"/>
                              <w:bidi w:val="0"/>
                              <w:spacing w:before="120" w:after="120"/>
                              <w:ind w:left="144" w:right="144" w:firstLine="144"/>
                              <w:jc w:val="left"/>
                              <w:rPr>
                                <w:rFonts w:ascii="Montserrat;sans-serif" w:hAnsi="Montserrat;sans-serif"/>
                                <w:color w:val="FFFFFF"/>
                                <w:sz w:val="18"/>
                              </w:rPr>
                            </w:pPr>
                            <w:r>
                              <w:rPr>
                                <w:rFonts w:ascii="Montserrat;sans-serif" w:hAnsi="Montserrat;sans-serif"/>
                                <w:color w:val="FFFFFF"/>
                                <w:sz w:val="18"/>
                              </w:rPr>
                              <w:t>Important Notice Regarding the Availability of Proxy Materials for the Annual Meeting of Stockholders to be Held on December 11, 2026: This Notice, the Proxy Statement and the Annual Report are available at www.proxyvote.com.</w:t>
                            </w:r>
                          </w:p>
                        </w:tc>
                      </w:tr>
                    </w:tbl>
                    <w:p>
                      <w:pPr>
                        <w:pStyle w:val="TextBody"/>
                        <w:bidi w:val="0"/>
                        <w:spacing w:before="120" w:after="283"/>
                        <w:ind w:left="144" w:right="144" w:hanging="0"/>
                        <w:jc w:val="left"/>
                        <w:rPr/>
                      </w:pPr>
                      <w:r>
                        <w:rPr/>
                        <w:t> </w:t>
                      </w:r>
                    </w:p>
                    <w:p>
                      <w:pPr>
                        <w:pStyle w:val="TextBody"/>
                        <w:bidi w:val="0"/>
                        <w:spacing w:before="120" w:after="283"/>
                        <w:jc w:val="both"/>
                        <w:rPr/>
                      </w:pPr>
                      <w:r>
                        <w:rPr/>
                        <w:t> </w:t>
                      </w:r>
                    </w:p>
                  </w:txbxContent>
                </v:textbox>
                <w10:wrap type="none"/>
              </v:rect>
            </w:pict>
          </mc:Fallback>
        </mc:AlternateContent>
      </w:r>
    </w:p>
    <w:p>
      <w:pPr>
        <w:pStyle w:val="TextBody"/>
        <w:bidi w:val="0"/>
        <w:spacing w:before="120" w:after="283"/>
        <w:jc w:val="both"/>
        <w:rPr/>
      </w:pPr>
      <w:r>
        <w:rPr/>
        <w:t> </w:t>
      </w:r>
    </w:p>
    <w:p>
      <w:pPr>
        <w:pStyle w:val="TextBody"/>
        <w:bidi w:val="0"/>
        <w:spacing w:before="120" w:after="283"/>
        <w:jc w:val="right"/>
        <w:rPr/>
      </w:pPr>
      <w:r>
        <w:rPr/>
        <w:t> </w:t>
      </w:r>
    </w:p>
    <w:p>
      <w:pPr>
        <w:pStyle w:val="TextBody"/>
        <w:bidi w:val="0"/>
        <w:jc w:val="both"/>
        <w:rPr/>
      </w:pPr>
      <w:r>
        <w:rPr/>
        <w:t> </w:t>
      </w:r>
    </w:p>
    <w:p>
      <w:pPr>
        <w:pStyle w:val="TextBody"/>
        <w:bidi w:val="0"/>
        <w:jc w:val="center"/>
        <w:rPr>
          <w:rFonts w:ascii="Montserrat;sans-serif" w:hAnsi="Montserrat;sans-serif"/>
          <w:b/>
          <w:color w:val="000000"/>
          <w:sz w:val="18"/>
        </w:rPr>
      </w:pPr>
      <w:r>
        <w:rPr>
          <w:rFonts w:ascii="Montserrat;sans-serif" w:hAnsi="Montserrat;sans-serif"/>
          <w:b/>
          <w:color w:val="000000"/>
          <w:sz w:val="18"/>
        </w:rPr>
        <w:t>UNITED STATES</w:t>
      </w:r>
    </w:p>
    <w:p>
      <w:pPr>
        <w:pStyle w:val="TextBody"/>
        <w:bidi w:val="0"/>
        <w:spacing w:before="60" w:after="60"/>
        <w:jc w:val="center"/>
        <w:rPr>
          <w:rFonts w:ascii="Montserrat;sans-serif" w:hAnsi="Montserrat;sans-serif"/>
          <w:b/>
          <w:color w:val="000000"/>
          <w:sz w:val="18"/>
        </w:rPr>
      </w:pPr>
      <w:r>
        <w:rPr>
          <w:rFonts w:ascii="Montserrat;sans-serif" w:hAnsi="Montserrat;sans-serif"/>
          <w:b/>
          <w:color w:val="000000"/>
          <w:sz w:val="18"/>
        </w:rPr>
        <w:t>SECURITIES AND EXCHANGE COMMISSION</w:t>
      </w:r>
    </w:p>
    <w:p>
      <w:pPr>
        <w:pStyle w:val="TextBody"/>
        <w:bidi w:val="0"/>
        <w:jc w:val="center"/>
        <w:rPr>
          <w:rFonts w:ascii="Montserrat;sans-serif" w:hAnsi="Montserrat;sans-serif"/>
          <w:color w:val="000000"/>
          <w:sz w:val="18"/>
        </w:rPr>
      </w:pPr>
      <w:r>
        <w:rPr>
          <w:rFonts w:ascii="Montserrat;sans-serif" w:hAnsi="Montserrat;sans-serif"/>
          <w:color w:val="000000"/>
          <w:sz w:val="18"/>
        </w:rPr>
        <w:t>Washington, D.C. 20549</w:t>
      </w:r>
    </w:p>
    <w:p>
      <w:pPr>
        <w:pStyle w:val="TextBody"/>
        <w:bidi w:val="0"/>
        <w:jc w:val="both"/>
        <w:rPr/>
      </w:pPr>
      <w:r>
        <w:rPr/>
        <w:t> </w:t>
      </w:r>
    </w:p>
    <w:p>
      <w:pPr>
        <w:pStyle w:val="TextBody"/>
        <w:bidi w:val="0"/>
        <w:spacing w:before="120" w:after="283"/>
        <w:jc w:val="center"/>
        <w:rPr>
          <w:rFonts w:ascii="Montserrat;sans-serif" w:hAnsi="Montserrat;sans-serif"/>
          <w:sz w:val="32"/>
        </w:rPr>
      </w:pPr>
      <w:r>
        <w:rPr>
          <w:rFonts w:ascii="Montserrat;sans-serif" w:hAnsi="Montserrat;sans-serif"/>
          <w:b/>
          <w:color w:val="000000"/>
          <w:sz w:val="32"/>
        </w:rPr>
        <w:t>SCHEDULE 14A</w:t>
      </w:r>
      <w:r>
        <w:rPr>
          <w:rFonts w:ascii="Montserrat;sans-serif" w:hAnsi="Montserrat;sans-serif"/>
          <w:color w:val="000000"/>
          <w:sz w:val="32"/>
        </w:rPr>
        <w:t xml:space="preserve"> </w:t>
      </w:r>
      <w:r>
        <w:rPr>
          <w:rFonts w:ascii="Montserrat;sans-serif" w:hAnsi="Montserrat;sans-serif"/>
          <w:b/>
          <w:color w:val="000000"/>
          <w:sz w:val="32"/>
        </w:rPr>
        <w:t>INFORMATION</w:t>
      </w:r>
    </w:p>
    <w:p>
      <w:pPr>
        <w:pStyle w:val="TextBody"/>
        <w:bidi w:val="0"/>
        <w:jc w:val="both"/>
        <w:rPr/>
      </w:pPr>
      <w:r>
        <w:rPr/>
        <w:t> </w:t>
      </w:r>
    </w:p>
    <w:p>
      <w:pPr>
        <w:pStyle w:val="TextBody"/>
        <w:bidi w:val="0"/>
        <w:jc w:val="center"/>
        <w:rPr>
          <w:rFonts w:ascii="Montserrat;sans-serif" w:hAnsi="Montserrat;sans-serif"/>
          <w:b/>
          <w:color w:val="000000"/>
          <w:sz w:val="18"/>
        </w:rPr>
      </w:pPr>
      <w:r>
        <w:rPr>
          <w:rFonts w:ascii="Montserrat;sans-serif" w:hAnsi="Montserrat;sans-serif"/>
          <w:b/>
          <w:color w:val="000000"/>
          <w:sz w:val="18"/>
        </w:rPr>
        <w:t>Proxy Statement Pursuant to Section 14(a) of the</w:t>
        <w:br/>
        <w:t>Securities Exchange Act of 1934</w:t>
        <w:br/>
        <w:t>(Amendment No. )</w:t>
      </w:r>
    </w:p>
    <w:p>
      <w:pPr>
        <w:pStyle w:val="TextBody"/>
        <w:bidi w:val="0"/>
        <w:jc w:val="center"/>
        <w:rPr/>
      </w:pPr>
      <w:r>
        <w:rPr/>
        <w:t> </w:t>
      </w:r>
    </w:p>
    <w:tbl>
      <w:tblPr>
        <w:tblW w:w="7074" w:type="dxa"/>
        <w:jc w:val="left"/>
        <w:tblInd w:w="0" w:type="dxa"/>
        <w:tblLayout w:type="fixed"/>
        <w:tblCellMar>
          <w:top w:w="28" w:type="dxa"/>
          <w:left w:w="28" w:type="dxa"/>
          <w:bottom w:w="28" w:type="dxa"/>
          <w:right w:w="28" w:type="dxa"/>
        </w:tblCellMar>
      </w:tblPr>
      <w:tblGrid>
        <w:gridCol w:w="416"/>
        <w:gridCol w:w="2241"/>
        <w:gridCol w:w="441"/>
        <w:gridCol w:w="3976"/>
      </w:tblGrid>
      <w:tr>
        <w:trPr/>
        <w:tc>
          <w:tcPr>
            <w:tcW w:w="416"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976" w:type="dxa"/>
            <w:tcBorders/>
            <w:vAlign w:val="center"/>
          </w:tcPr>
          <w:p>
            <w:pPr>
              <w:pStyle w:val="TableContents"/>
              <w:bidi w:val="0"/>
              <w:spacing w:before="0" w:after="283"/>
              <w:jc w:val="left"/>
              <w:rPr>
                <w:sz w:val="4"/>
                <w:szCs w:val="4"/>
              </w:rPr>
            </w:pPr>
            <w:r>
              <w:rPr>
                <w:sz w:val="4"/>
                <w:szCs w:val="4"/>
              </w:rPr>
            </w:r>
          </w:p>
        </w:tc>
      </w:tr>
      <w:tr>
        <w:trPr/>
        <w:tc>
          <w:tcPr>
            <w:tcW w:w="416" w:type="dxa"/>
            <w:tcBorders/>
            <w:tcMar>
              <w:top w:w="0" w:type="dxa"/>
              <w:left w:w="0" w:type="dxa"/>
              <w:bottom w:w="0" w:type="dxa"/>
              <w:right w:w="0" w:type="dxa"/>
            </w:tcMar>
            <w:vAlign w:val="center"/>
          </w:tcPr>
          <w:p>
            <w:pPr>
              <w:pStyle w:val="TableContents"/>
              <w:bidi w:val="0"/>
              <w:spacing w:before="120" w:after="283"/>
              <w:jc w:val="right"/>
              <w:rPr/>
            </w:pPr>
            <w:r>
              <w:rPr/>
              <w:drawing>
                <wp:inline distT="0" distB="0" distL="0" distR="0">
                  <wp:extent cx="200025" cy="209550"/>
                  <wp:effectExtent l="0" t="0" r="0" b="0"/>
                  <wp:docPr id="2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 descr=""/>
                          <pic:cNvPicPr>
                            <a:picLocks noChangeAspect="1" noChangeArrowheads="1"/>
                          </pic:cNvPicPr>
                        </pic:nvPicPr>
                        <pic:blipFill>
                          <a:blip r:embed="rId22"/>
                          <a:stretch>
                            <a:fillRect/>
                          </a:stretch>
                        </pic:blipFill>
                        <pic:spPr bwMode="auto">
                          <a:xfrm>
                            <a:off x="0" y="0"/>
                            <a:ext cx="200025" cy="209550"/>
                          </a:xfrm>
                          <a:prstGeom prst="rect">
                            <a:avLst/>
                          </a:prstGeom>
                        </pic:spPr>
                      </pic:pic>
                    </a:graphicData>
                  </a:graphic>
                </wp:inline>
              </w:drawing>
            </w:r>
          </w:p>
        </w:tc>
        <w:tc>
          <w:tcPr>
            <w:tcW w:w="2241" w:type="dxa"/>
            <w:tcBorders/>
            <w:tcMar>
              <w:top w:w="0" w:type="dxa"/>
              <w:left w:w="0" w:type="dxa"/>
              <w:bottom w:w="0" w:type="dxa"/>
              <w:right w:w="0" w:type="dxa"/>
            </w:tcMar>
            <w:vAlign w:val="center"/>
          </w:tcPr>
          <w:p>
            <w:pPr>
              <w:pStyle w:val="TableContents"/>
              <w:bidi w:val="0"/>
              <w:spacing w:before="120" w:after="283"/>
              <w:ind w:left="0" w:right="0" w:firstLine="20"/>
              <w:jc w:val="left"/>
              <w:rPr>
                <w:color w:val="000000"/>
              </w:rPr>
            </w:pPr>
            <w:r>
              <w:rPr>
                <w:color w:val="000000"/>
              </w:rPr>
              <w:t> </w:t>
            </w:r>
            <w:r>
              <w:rPr>
                <w:rFonts w:ascii="Montserrat;sans-serif" w:hAnsi="Montserrat;sans-serif"/>
                <w:color w:val="000000"/>
                <w:sz w:val="18"/>
              </w:rPr>
              <w:t>Filed by the Registrant</w:t>
            </w:r>
          </w:p>
        </w:tc>
        <w:tc>
          <w:tcPr>
            <w:tcW w:w="441" w:type="dxa"/>
            <w:tcBorders/>
            <w:tcMar>
              <w:top w:w="0" w:type="dxa"/>
              <w:left w:w="0" w:type="dxa"/>
              <w:bottom w:w="0" w:type="dxa"/>
              <w:right w:w="0" w:type="dxa"/>
            </w:tcMar>
            <w:vAlign w:val="center"/>
          </w:tcPr>
          <w:p>
            <w:pPr>
              <w:pStyle w:val="TableContents"/>
              <w:bidi w:val="0"/>
              <w:spacing w:before="120" w:after="283"/>
              <w:ind w:left="20" w:right="20" w:firstLine="20"/>
              <w:jc w:val="center"/>
              <w:rPr/>
            </w:pPr>
            <w:r>
              <w:rPr/>
              <w:drawing>
                <wp:inline distT="0" distB="0" distL="0" distR="0">
                  <wp:extent cx="200025" cy="209550"/>
                  <wp:effectExtent l="0" t="0" r="0" b="0"/>
                  <wp:docPr id="3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 descr=""/>
                          <pic:cNvPicPr>
                            <a:picLocks noChangeAspect="1" noChangeArrowheads="1"/>
                          </pic:cNvPicPr>
                        </pic:nvPicPr>
                        <pic:blipFill>
                          <a:blip r:embed="rId23"/>
                          <a:stretch>
                            <a:fillRect/>
                          </a:stretch>
                        </pic:blipFill>
                        <pic:spPr bwMode="auto">
                          <a:xfrm>
                            <a:off x="0" y="0"/>
                            <a:ext cx="200025" cy="209550"/>
                          </a:xfrm>
                          <a:prstGeom prst="rect">
                            <a:avLst/>
                          </a:prstGeom>
                        </pic:spPr>
                      </pic:pic>
                    </a:graphicData>
                  </a:graphic>
                </wp:inline>
              </w:drawing>
            </w:r>
          </w:p>
        </w:tc>
        <w:tc>
          <w:tcPr>
            <w:tcW w:w="397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 </w:t>
            </w:r>
            <w:r>
              <w:rPr>
                <w:rFonts w:ascii="Montserrat;sans-serif" w:hAnsi="Montserrat;sans-serif"/>
                <w:color w:val="000000"/>
                <w:sz w:val="18"/>
              </w:rPr>
              <w:t>Filed by a Party other than the Registrant</w:t>
            </w:r>
          </w:p>
        </w:tc>
      </w:tr>
    </w:tbl>
    <w:p>
      <w:pPr>
        <w:pStyle w:val="TextBody"/>
        <w:bidi w:val="0"/>
        <w:spacing w:before="120" w:after="283"/>
        <w:jc w:val="both"/>
        <w:rPr/>
      </w:pPr>
      <w:r>
        <w:rPr/>
        <w:t> </w:t>
      </w:r>
    </w:p>
    <w:tbl>
      <w:tblPr>
        <w:tblW w:w="7857" w:type="dxa"/>
        <w:jc w:val="left"/>
        <w:tblInd w:w="0" w:type="dxa"/>
        <w:tblLayout w:type="fixed"/>
        <w:tblCellMar>
          <w:top w:w="28" w:type="dxa"/>
          <w:left w:w="28" w:type="dxa"/>
          <w:bottom w:w="28" w:type="dxa"/>
          <w:right w:w="28" w:type="dxa"/>
        </w:tblCellMar>
      </w:tblPr>
      <w:tblGrid>
        <w:gridCol w:w="456"/>
        <w:gridCol w:w="7401"/>
      </w:tblGrid>
      <w:tr>
        <w:trPr/>
        <w:tc>
          <w:tcPr>
            <w:tcW w:w="456" w:type="dxa"/>
            <w:tcBorders/>
            <w:vAlign w:val="center"/>
          </w:tcPr>
          <w:p>
            <w:pPr>
              <w:pStyle w:val="TableContents"/>
              <w:bidi w:val="0"/>
              <w:spacing w:before="0" w:after="283"/>
              <w:jc w:val="left"/>
              <w:rPr>
                <w:sz w:val="4"/>
                <w:szCs w:val="4"/>
              </w:rPr>
            </w:pPr>
            <w:r>
              <w:rPr>
                <w:sz w:val="4"/>
                <w:szCs w:val="4"/>
              </w:rPr>
            </w:r>
          </w:p>
        </w:tc>
        <w:tc>
          <w:tcPr>
            <w:tcW w:w="7401" w:type="dxa"/>
            <w:tcBorders/>
            <w:vAlign w:val="center"/>
          </w:tcPr>
          <w:p>
            <w:pPr>
              <w:pStyle w:val="TableContents"/>
              <w:bidi w:val="0"/>
              <w:spacing w:before="0" w:after="283"/>
              <w:jc w:val="left"/>
              <w:rPr>
                <w:sz w:val="4"/>
                <w:szCs w:val="4"/>
              </w:rPr>
            </w:pPr>
            <w:r>
              <w:rPr>
                <w:sz w:val="4"/>
                <w:szCs w:val="4"/>
              </w:rPr>
            </w:r>
          </w:p>
        </w:tc>
      </w:tr>
      <w:tr>
        <w:trPr/>
        <w:tc>
          <w:tcPr>
            <w:tcW w:w="7857" w:type="dxa"/>
            <w:gridSpan w:val="2"/>
            <w:tcBorders>
              <w:top w:val="single" w:sz="4" w:space="0" w:color="000000"/>
              <w:left w:val="single" w:sz="4" w:space="0" w:color="000000"/>
              <w:bottom w:val="single" w:sz="4" w:space="0" w:color="000000"/>
              <w:right w:val="single" w:sz="4" w:space="0" w:color="000000"/>
            </w:tcBorders>
            <w:shd w:fill="E0E1FF" w:val="clear"/>
            <w:tcMar>
              <w:top w:w="40" w:type="dxa"/>
              <w:left w:w="40" w:type="dxa"/>
              <w:right w:w="40" w:type="dxa"/>
            </w:tcMar>
            <w:vAlign w:val="center"/>
          </w:tcPr>
          <w:p>
            <w:pPr>
              <w:pStyle w:val="TableContents"/>
              <w:bidi w:val="0"/>
              <w:spacing w:before="120" w:after="283"/>
              <w:ind w:left="0" w:right="0" w:firstLine="20"/>
              <w:jc w:val="left"/>
              <w:rPr>
                <w:rFonts w:ascii="Montserrat;sans-serif" w:hAnsi="Montserrat;sans-serif"/>
                <w:b/>
                <w:color w:val="000000"/>
                <w:sz w:val="18"/>
              </w:rPr>
            </w:pPr>
            <w:r>
              <w:rPr>
                <w:rFonts w:ascii="Montserrat;sans-serif" w:hAnsi="Montserrat;sans-serif"/>
                <w:b/>
                <w:color w:val="000000"/>
                <w:sz w:val="18"/>
              </w:rPr>
              <w:t>Check the appropriate box:</w:t>
            </w:r>
          </w:p>
        </w:tc>
      </w:tr>
      <w:tr>
        <w:trPr/>
        <w:tc>
          <w:tcPr>
            <w:tcW w:w="456" w:type="dxa"/>
            <w:tcBorders>
              <w:left w:val="single" w:sz="4" w:space="0" w:color="000000"/>
              <w:bottom w:val="single" w:sz="4" w:space="0" w:color="000000"/>
            </w:tcBorders>
            <w:tcMar>
              <w:top w:w="0" w:type="dxa"/>
              <w:left w:w="40" w:type="dxa"/>
              <w:right w:w="0" w:type="dxa"/>
            </w:tcMar>
            <w:vAlign w:val="center"/>
          </w:tcPr>
          <w:p>
            <w:pPr>
              <w:pStyle w:val="TableContents"/>
              <w:bidi w:val="0"/>
              <w:spacing w:before="120" w:after="283"/>
              <w:ind w:left="20" w:right="20" w:firstLine="20"/>
              <w:jc w:val="center"/>
              <w:rPr/>
            </w:pPr>
            <w:r>
              <w:rPr/>
              <w:drawing>
                <wp:inline distT="0" distB="0" distL="0" distR="0">
                  <wp:extent cx="200025" cy="209550"/>
                  <wp:effectExtent l="0" t="0" r="0" b="0"/>
                  <wp:docPr id="3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 descr=""/>
                          <pic:cNvPicPr>
                            <a:picLocks noChangeAspect="1" noChangeArrowheads="1"/>
                          </pic:cNvPicPr>
                        </pic:nvPicPr>
                        <pic:blipFill>
                          <a:blip r:embed="rId24"/>
                          <a:stretch>
                            <a:fillRect/>
                          </a:stretch>
                        </pic:blipFill>
                        <pic:spPr bwMode="auto">
                          <a:xfrm>
                            <a:off x="0" y="0"/>
                            <a:ext cx="200025" cy="209550"/>
                          </a:xfrm>
                          <a:prstGeom prst="rect">
                            <a:avLst/>
                          </a:prstGeom>
                        </pic:spPr>
                      </pic:pic>
                    </a:graphicData>
                  </a:graphic>
                </wp:inline>
              </w:drawing>
            </w:r>
          </w:p>
        </w:tc>
        <w:tc>
          <w:tcPr>
            <w:tcW w:w="7401" w:type="dxa"/>
            <w:tcBorders>
              <w:left w:val="single" w:sz="4" w:space="0" w:color="000000"/>
              <w:bottom w:val="single" w:sz="4" w:space="0" w:color="000000"/>
              <w:right w:val="single" w:sz="4" w:space="0" w:color="000000"/>
            </w:tcBorders>
            <w:tcMar>
              <w:top w:w="0" w:type="dxa"/>
              <w:left w:w="40" w:type="dxa"/>
              <w:right w:w="40" w:type="dxa"/>
            </w:tcMar>
            <w:vAlign w:val="center"/>
          </w:tcPr>
          <w:p>
            <w:pPr>
              <w:pStyle w:val="TableContents"/>
              <w:bidi w:val="0"/>
              <w:spacing w:before="120" w:after="283"/>
              <w:ind w:left="0" w:right="0" w:firstLine="20"/>
              <w:jc w:val="left"/>
              <w:rPr>
                <w:rFonts w:ascii="Montserrat;sans-serif" w:hAnsi="Montserrat;sans-serif"/>
                <w:color w:val="000000"/>
                <w:sz w:val="18"/>
              </w:rPr>
            </w:pPr>
            <w:r>
              <w:rPr>
                <w:rFonts w:ascii="Montserrat;sans-serif" w:hAnsi="Montserrat;sans-serif"/>
                <w:color w:val="000000"/>
                <w:sz w:val="18"/>
              </w:rPr>
              <w:t>Preliminary Proxy Statement</w:t>
            </w:r>
          </w:p>
        </w:tc>
      </w:tr>
      <w:tr>
        <w:trPr/>
        <w:tc>
          <w:tcPr>
            <w:tcW w:w="456" w:type="dxa"/>
            <w:tcBorders>
              <w:left w:val="single" w:sz="4" w:space="0" w:color="000000"/>
              <w:bottom w:val="single" w:sz="4" w:space="0" w:color="000000"/>
            </w:tcBorders>
            <w:tcMar>
              <w:top w:w="0" w:type="dxa"/>
              <w:left w:w="40" w:type="dxa"/>
              <w:right w:w="0" w:type="dxa"/>
            </w:tcMar>
            <w:vAlign w:val="center"/>
          </w:tcPr>
          <w:p>
            <w:pPr>
              <w:pStyle w:val="TableContents"/>
              <w:bidi w:val="0"/>
              <w:spacing w:before="120" w:after="283"/>
              <w:ind w:left="20" w:right="20" w:firstLine="20"/>
              <w:jc w:val="center"/>
              <w:rPr/>
            </w:pPr>
            <w:r>
              <w:rPr/>
              <w:drawing>
                <wp:inline distT="0" distB="0" distL="0" distR="0">
                  <wp:extent cx="200025" cy="209550"/>
                  <wp:effectExtent l="0" t="0" r="0" b="0"/>
                  <wp:docPr id="3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4" descr=""/>
                          <pic:cNvPicPr>
                            <a:picLocks noChangeAspect="1" noChangeArrowheads="1"/>
                          </pic:cNvPicPr>
                        </pic:nvPicPr>
                        <pic:blipFill>
                          <a:blip r:embed="rId25"/>
                          <a:stretch>
                            <a:fillRect/>
                          </a:stretch>
                        </pic:blipFill>
                        <pic:spPr bwMode="auto">
                          <a:xfrm>
                            <a:off x="0" y="0"/>
                            <a:ext cx="200025" cy="209550"/>
                          </a:xfrm>
                          <a:prstGeom prst="rect">
                            <a:avLst/>
                          </a:prstGeom>
                        </pic:spPr>
                      </pic:pic>
                    </a:graphicData>
                  </a:graphic>
                </wp:inline>
              </w:drawing>
            </w:r>
          </w:p>
        </w:tc>
        <w:tc>
          <w:tcPr>
            <w:tcW w:w="7401" w:type="dxa"/>
            <w:tcBorders>
              <w:left w:val="single" w:sz="4" w:space="0" w:color="000000"/>
              <w:bottom w:val="single" w:sz="4" w:space="0" w:color="000000"/>
              <w:right w:val="single" w:sz="4" w:space="0" w:color="000000"/>
            </w:tcBorders>
            <w:tcMar>
              <w:top w:w="0" w:type="dxa"/>
              <w:left w:w="40" w:type="dxa"/>
              <w:right w:w="40" w:type="dxa"/>
            </w:tcMar>
            <w:vAlign w:val="center"/>
          </w:tcPr>
          <w:p>
            <w:pPr>
              <w:pStyle w:val="TableContents"/>
              <w:bidi w:val="0"/>
              <w:spacing w:before="120" w:after="283"/>
              <w:ind w:left="0" w:right="0" w:firstLine="20"/>
              <w:jc w:val="left"/>
              <w:rPr>
                <w:rFonts w:ascii="Montserrat;sans-serif" w:hAnsi="Montserrat;sans-serif"/>
                <w:color w:val="000000"/>
                <w:sz w:val="18"/>
              </w:rPr>
            </w:pPr>
            <w:r>
              <w:rPr>
                <w:rFonts w:ascii="Montserrat;sans-serif" w:hAnsi="Montserrat;sans-serif"/>
                <w:color w:val="000000"/>
                <w:sz w:val="18"/>
              </w:rPr>
              <w:t>Confidential, for Use of the Commission Only (as permitted by Rule 14a-6(e)(2))</w:t>
            </w:r>
          </w:p>
        </w:tc>
      </w:tr>
      <w:tr>
        <w:trPr/>
        <w:tc>
          <w:tcPr>
            <w:tcW w:w="456" w:type="dxa"/>
            <w:tcBorders>
              <w:left w:val="single" w:sz="4" w:space="0" w:color="000000"/>
              <w:bottom w:val="single" w:sz="4" w:space="0" w:color="000000"/>
            </w:tcBorders>
            <w:tcMar>
              <w:top w:w="0" w:type="dxa"/>
              <w:left w:w="40" w:type="dxa"/>
              <w:right w:w="0" w:type="dxa"/>
            </w:tcMar>
            <w:vAlign w:val="center"/>
          </w:tcPr>
          <w:p>
            <w:pPr>
              <w:pStyle w:val="TableContents"/>
              <w:bidi w:val="0"/>
              <w:spacing w:before="120" w:after="283"/>
              <w:ind w:left="20" w:right="20" w:firstLine="20"/>
              <w:jc w:val="center"/>
              <w:rPr/>
            </w:pPr>
            <w:r>
              <w:rPr/>
              <w:drawing>
                <wp:inline distT="0" distB="0" distL="0" distR="0">
                  <wp:extent cx="200025" cy="209550"/>
                  <wp:effectExtent l="0" t="0" r="0" b="0"/>
                  <wp:docPr id="3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5" descr=""/>
                          <pic:cNvPicPr>
                            <a:picLocks noChangeAspect="1" noChangeArrowheads="1"/>
                          </pic:cNvPicPr>
                        </pic:nvPicPr>
                        <pic:blipFill>
                          <a:blip r:embed="rId26"/>
                          <a:stretch>
                            <a:fillRect/>
                          </a:stretch>
                        </pic:blipFill>
                        <pic:spPr bwMode="auto">
                          <a:xfrm>
                            <a:off x="0" y="0"/>
                            <a:ext cx="200025" cy="209550"/>
                          </a:xfrm>
                          <a:prstGeom prst="rect">
                            <a:avLst/>
                          </a:prstGeom>
                        </pic:spPr>
                      </pic:pic>
                    </a:graphicData>
                  </a:graphic>
                </wp:inline>
              </w:drawing>
            </w:r>
          </w:p>
        </w:tc>
        <w:tc>
          <w:tcPr>
            <w:tcW w:w="7401" w:type="dxa"/>
            <w:tcBorders>
              <w:left w:val="single" w:sz="4" w:space="0" w:color="000000"/>
              <w:bottom w:val="single" w:sz="4" w:space="0" w:color="000000"/>
              <w:right w:val="single" w:sz="4" w:space="0" w:color="000000"/>
            </w:tcBorders>
            <w:tcMar>
              <w:top w:w="0" w:type="dxa"/>
              <w:left w:w="40" w:type="dxa"/>
              <w:right w:w="40" w:type="dxa"/>
            </w:tcMar>
            <w:vAlign w:val="center"/>
          </w:tcPr>
          <w:p>
            <w:pPr>
              <w:pStyle w:val="TableContents"/>
              <w:bidi w:val="0"/>
              <w:spacing w:before="120" w:after="283"/>
              <w:ind w:left="0" w:right="0" w:firstLine="20"/>
              <w:jc w:val="left"/>
              <w:rPr>
                <w:rFonts w:ascii="Montserrat;sans-serif" w:hAnsi="Montserrat;sans-serif"/>
                <w:color w:val="000000"/>
                <w:sz w:val="18"/>
              </w:rPr>
            </w:pPr>
            <w:r>
              <w:rPr>
                <w:rFonts w:ascii="Montserrat;sans-serif" w:hAnsi="Montserrat;sans-serif"/>
                <w:color w:val="000000"/>
                <w:sz w:val="18"/>
              </w:rPr>
              <w:t>Definitive Proxy Statement</w:t>
            </w:r>
          </w:p>
        </w:tc>
      </w:tr>
      <w:tr>
        <w:trPr/>
        <w:tc>
          <w:tcPr>
            <w:tcW w:w="456" w:type="dxa"/>
            <w:tcBorders>
              <w:left w:val="single" w:sz="4" w:space="0" w:color="000000"/>
              <w:bottom w:val="single" w:sz="4" w:space="0" w:color="000000"/>
            </w:tcBorders>
            <w:tcMar>
              <w:top w:w="0" w:type="dxa"/>
              <w:left w:w="40" w:type="dxa"/>
              <w:right w:w="0" w:type="dxa"/>
            </w:tcMar>
            <w:vAlign w:val="center"/>
          </w:tcPr>
          <w:p>
            <w:pPr>
              <w:pStyle w:val="TableContents"/>
              <w:bidi w:val="0"/>
              <w:spacing w:before="120" w:after="283"/>
              <w:ind w:left="20" w:right="20" w:firstLine="20"/>
              <w:jc w:val="center"/>
              <w:rPr/>
            </w:pPr>
            <w:r>
              <w:rPr/>
              <w:drawing>
                <wp:inline distT="0" distB="0" distL="0" distR="0">
                  <wp:extent cx="200025" cy="209550"/>
                  <wp:effectExtent l="0" t="0" r="0" b="0"/>
                  <wp:docPr id="3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6" descr=""/>
                          <pic:cNvPicPr>
                            <a:picLocks noChangeAspect="1" noChangeArrowheads="1"/>
                          </pic:cNvPicPr>
                        </pic:nvPicPr>
                        <pic:blipFill>
                          <a:blip r:embed="rId27"/>
                          <a:stretch>
                            <a:fillRect/>
                          </a:stretch>
                        </pic:blipFill>
                        <pic:spPr bwMode="auto">
                          <a:xfrm>
                            <a:off x="0" y="0"/>
                            <a:ext cx="200025" cy="209550"/>
                          </a:xfrm>
                          <a:prstGeom prst="rect">
                            <a:avLst/>
                          </a:prstGeom>
                        </pic:spPr>
                      </pic:pic>
                    </a:graphicData>
                  </a:graphic>
                </wp:inline>
              </w:drawing>
            </w:r>
          </w:p>
        </w:tc>
        <w:tc>
          <w:tcPr>
            <w:tcW w:w="7401" w:type="dxa"/>
            <w:tcBorders>
              <w:left w:val="single" w:sz="4" w:space="0" w:color="000000"/>
              <w:bottom w:val="single" w:sz="4" w:space="0" w:color="000000"/>
              <w:right w:val="single" w:sz="4" w:space="0" w:color="000000"/>
            </w:tcBorders>
            <w:tcMar>
              <w:top w:w="0" w:type="dxa"/>
              <w:left w:w="40" w:type="dxa"/>
              <w:right w:w="40" w:type="dxa"/>
            </w:tcMar>
            <w:vAlign w:val="center"/>
          </w:tcPr>
          <w:p>
            <w:pPr>
              <w:pStyle w:val="TableContents"/>
              <w:bidi w:val="0"/>
              <w:spacing w:before="120" w:after="283"/>
              <w:ind w:left="0" w:right="0" w:firstLine="20"/>
              <w:jc w:val="left"/>
              <w:rPr>
                <w:rFonts w:ascii="Montserrat;sans-serif" w:hAnsi="Montserrat;sans-serif"/>
                <w:color w:val="000000"/>
                <w:sz w:val="18"/>
              </w:rPr>
            </w:pPr>
            <w:r>
              <w:rPr>
                <w:rFonts w:ascii="Montserrat;sans-serif" w:hAnsi="Montserrat;sans-serif"/>
                <w:color w:val="000000"/>
                <w:sz w:val="18"/>
              </w:rPr>
              <w:t>Definitive Additional Materials</w:t>
            </w:r>
          </w:p>
        </w:tc>
      </w:tr>
      <w:tr>
        <w:trPr/>
        <w:tc>
          <w:tcPr>
            <w:tcW w:w="456" w:type="dxa"/>
            <w:tcBorders>
              <w:left w:val="single" w:sz="4" w:space="0" w:color="000000"/>
              <w:bottom w:val="single" w:sz="4" w:space="0" w:color="000000"/>
            </w:tcBorders>
            <w:tcMar>
              <w:top w:w="0" w:type="dxa"/>
              <w:left w:w="40" w:type="dxa"/>
              <w:right w:w="0" w:type="dxa"/>
            </w:tcMar>
            <w:vAlign w:val="center"/>
          </w:tcPr>
          <w:p>
            <w:pPr>
              <w:pStyle w:val="TableContents"/>
              <w:bidi w:val="0"/>
              <w:spacing w:before="120" w:after="283"/>
              <w:ind w:left="20" w:right="20" w:firstLine="20"/>
              <w:jc w:val="center"/>
              <w:rPr/>
            </w:pPr>
            <w:r>
              <w:rPr/>
              <w:drawing>
                <wp:inline distT="0" distB="0" distL="0" distR="0">
                  <wp:extent cx="200025" cy="209550"/>
                  <wp:effectExtent l="0" t="0" r="0" b="0"/>
                  <wp:docPr id="3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7" descr=""/>
                          <pic:cNvPicPr>
                            <a:picLocks noChangeAspect="1" noChangeArrowheads="1"/>
                          </pic:cNvPicPr>
                        </pic:nvPicPr>
                        <pic:blipFill>
                          <a:blip r:embed="rId28"/>
                          <a:stretch>
                            <a:fillRect/>
                          </a:stretch>
                        </pic:blipFill>
                        <pic:spPr bwMode="auto">
                          <a:xfrm>
                            <a:off x="0" y="0"/>
                            <a:ext cx="200025" cy="209550"/>
                          </a:xfrm>
                          <a:prstGeom prst="rect">
                            <a:avLst/>
                          </a:prstGeom>
                        </pic:spPr>
                      </pic:pic>
                    </a:graphicData>
                  </a:graphic>
                </wp:inline>
              </w:drawing>
            </w:r>
          </w:p>
        </w:tc>
        <w:tc>
          <w:tcPr>
            <w:tcW w:w="7401" w:type="dxa"/>
            <w:tcBorders>
              <w:left w:val="single" w:sz="4" w:space="0" w:color="000000"/>
              <w:bottom w:val="single" w:sz="4" w:space="0" w:color="000000"/>
              <w:right w:val="single" w:sz="4" w:space="0" w:color="000000"/>
            </w:tcBorders>
            <w:tcMar>
              <w:top w:w="0" w:type="dxa"/>
              <w:left w:w="40" w:type="dxa"/>
              <w:right w:w="40" w:type="dxa"/>
            </w:tcMar>
            <w:vAlign w:val="center"/>
          </w:tcPr>
          <w:p>
            <w:pPr>
              <w:pStyle w:val="TableContents"/>
              <w:bidi w:val="0"/>
              <w:spacing w:before="120" w:after="283"/>
              <w:jc w:val="left"/>
              <w:rPr>
                <w:rFonts w:ascii="Montserrat;sans-serif" w:hAnsi="Montserrat;sans-serif"/>
                <w:color w:val="000000"/>
                <w:sz w:val="18"/>
              </w:rPr>
            </w:pPr>
            <w:r>
              <w:rPr>
                <w:rFonts w:ascii="Montserrat;sans-serif" w:hAnsi="Montserrat;sans-serif"/>
                <w:color w:val="000000"/>
                <w:sz w:val="18"/>
              </w:rPr>
              <w:t>Soliciting Material under §240.14a-12</w:t>
            </w:r>
          </w:p>
        </w:tc>
      </w:tr>
    </w:tbl>
    <w:p>
      <w:pPr>
        <w:pStyle w:val="TextBody"/>
        <w:bidi w:val="0"/>
        <w:spacing w:before="120" w:after="100"/>
        <w:jc w:val="center"/>
        <w:rPr>
          <w:rFonts w:ascii="Montserrat;sans-serif" w:hAnsi="Montserrat;sans-serif"/>
          <w:b/>
          <w:color w:val="7855FA"/>
          <w:sz w:val="40"/>
        </w:rPr>
      </w:pPr>
      <w:r>
        <w:rPr>
          <w:rFonts w:ascii="Montserrat;sans-serif" w:hAnsi="Montserrat;sans-serif"/>
          <w:b/>
          <w:color w:val="7855FA"/>
          <w:sz w:val="40"/>
        </w:rPr>
        <w:t>NUTANIX, INC.</w:t>
      </w:r>
    </w:p>
    <w:p>
      <w:pPr>
        <w:pStyle w:val="TextBody"/>
        <w:bidi w:val="0"/>
        <w:jc w:val="center"/>
        <w:rPr/>
      </w:pPr>
      <w:r>
        <w:rPr/>
        <w:drawing>
          <wp:inline distT="0" distB="0" distL="0" distR="0">
            <wp:extent cx="1685925" cy="219075"/>
            <wp:effectExtent l="0" t="0" r="0" b="0"/>
            <wp:docPr id="3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8" descr=""/>
                    <pic:cNvPicPr>
                      <a:picLocks noChangeAspect="1" noChangeArrowheads="1"/>
                    </pic:cNvPicPr>
                  </pic:nvPicPr>
                  <pic:blipFill>
                    <a:blip r:embed="rId29"/>
                    <a:stretch>
                      <a:fillRect/>
                    </a:stretch>
                  </pic:blipFill>
                  <pic:spPr bwMode="auto">
                    <a:xfrm>
                      <a:off x="0" y="0"/>
                      <a:ext cx="1685925" cy="219075"/>
                    </a:xfrm>
                    <a:prstGeom prst="rect">
                      <a:avLst/>
                    </a:prstGeom>
                  </pic:spPr>
                </pic:pic>
              </a:graphicData>
            </a:graphic>
          </wp:inline>
        </w:drawing>
      </w:r>
    </w:p>
    <w:p>
      <w:pPr>
        <w:pStyle w:val="TextBody"/>
        <w:bidi w:val="0"/>
        <w:jc w:val="center"/>
        <w:rPr>
          <w:rFonts w:ascii="Montserrat;sans-serif" w:hAnsi="Montserrat;sans-serif"/>
          <w:i/>
          <w:color w:val="000000"/>
          <w:sz w:val="18"/>
        </w:rPr>
      </w:pPr>
      <w:r>
        <w:rPr>
          <w:rFonts w:ascii="Montserrat;sans-serif" w:hAnsi="Montserrat;sans-serif"/>
          <w:i/>
          <w:color w:val="000000"/>
          <w:sz w:val="18"/>
        </w:rPr>
        <w:t>(Name of Registrant as Specified In Its Charter)</w:t>
      </w:r>
    </w:p>
    <w:p>
      <w:pPr>
        <w:pStyle w:val="TextBody"/>
        <w:bidi w:val="0"/>
        <w:spacing w:before="120" w:after="60"/>
        <w:jc w:val="center"/>
        <w:rPr>
          <w:rFonts w:ascii="Montserrat;sans-serif" w:hAnsi="Montserrat;sans-serif"/>
          <w:i/>
          <w:color w:val="000000"/>
          <w:sz w:val="18"/>
        </w:rPr>
      </w:pPr>
      <w:r>
        <w:rPr>
          <w:rFonts w:ascii="Montserrat;sans-serif" w:hAnsi="Montserrat;sans-serif"/>
          <w:i/>
          <w:color w:val="000000"/>
          <w:sz w:val="18"/>
        </w:rPr>
        <w:t>(Name of Person(s) Filing Proxy Statement, if other than the Registrant)</w:t>
      </w:r>
    </w:p>
    <w:tbl>
      <w:tblPr>
        <w:tblW w:w="9922" w:type="dxa"/>
        <w:jc w:val="left"/>
        <w:tblInd w:w="0" w:type="dxa"/>
        <w:tblLayout w:type="fixed"/>
        <w:tblCellMar>
          <w:top w:w="28" w:type="dxa"/>
          <w:left w:w="28" w:type="dxa"/>
          <w:bottom w:w="28" w:type="dxa"/>
          <w:right w:w="28" w:type="dxa"/>
        </w:tblCellMar>
      </w:tblPr>
      <w:tblGrid>
        <w:gridCol w:w="456"/>
        <w:gridCol w:w="9466"/>
      </w:tblGrid>
      <w:tr>
        <w:trPr/>
        <w:tc>
          <w:tcPr>
            <w:tcW w:w="456" w:type="dxa"/>
            <w:tcBorders/>
            <w:vAlign w:val="center"/>
          </w:tcPr>
          <w:p>
            <w:pPr>
              <w:pStyle w:val="TableContents"/>
              <w:bidi w:val="0"/>
              <w:spacing w:before="0" w:after="283"/>
              <w:jc w:val="left"/>
              <w:rPr>
                <w:sz w:val="4"/>
                <w:szCs w:val="4"/>
              </w:rPr>
            </w:pPr>
            <w:r>
              <w:rPr>
                <w:sz w:val="4"/>
                <w:szCs w:val="4"/>
              </w:rPr>
            </w:r>
          </w:p>
        </w:tc>
        <w:tc>
          <w:tcPr>
            <w:tcW w:w="9466" w:type="dxa"/>
            <w:tcBorders/>
            <w:vAlign w:val="center"/>
          </w:tcPr>
          <w:p>
            <w:pPr>
              <w:pStyle w:val="TableContents"/>
              <w:bidi w:val="0"/>
              <w:spacing w:before="0" w:after="283"/>
              <w:jc w:val="left"/>
              <w:rPr>
                <w:sz w:val="4"/>
                <w:szCs w:val="4"/>
              </w:rPr>
            </w:pPr>
            <w:r>
              <w:rPr>
                <w:sz w:val="4"/>
                <w:szCs w:val="4"/>
              </w:rPr>
            </w:r>
          </w:p>
        </w:tc>
      </w:tr>
      <w:tr>
        <w:trPr/>
        <w:tc>
          <w:tcPr>
            <w:tcW w:w="9922" w:type="dxa"/>
            <w:gridSpan w:val="2"/>
            <w:tcBorders>
              <w:top w:val="single" w:sz="4" w:space="0" w:color="000000"/>
              <w:left w:val="single" w:sz="4" w:space="0" w:color="000000"/>
              <w:bottom w:val="single" w:sz="4" w:space="0" w:color="000000"/>
              <w:right w:val="single" w:sz="4" w:space="0" w:color="000000"/>
            </w:tcBorders>
            <w:shd w:fill="E0E1FF" w:val="clear"/>
            <w:tcMar>
              <w:top w:w="40" w:type="dxa"/>
              <w:left w:w="40" w:type="dxa"/>
              <w:right w:w="40" w:type="dxa"/>
            </w:tcMar>
            <w:vAlign w:val="center"/>
          </w:tcPr>
          <w:p>
            <w:pPr>
              <w:pStyle w:val="TableContents"/>
              <w:bidi w:val="0"/>
              <w:spacing w:before="120" w:after="283"/>
              <w:ind w:left="0" w:right="0" w:firstLine="20"/>
              <w:jc w:val="left"/>
              <w:rPr>
                <w:rFonts w:ascii="Montserrat;sans-serif" w:hAnsi="Montserrat;sans-serif"/>
                <w:b/>
                <w:color w:val="000000"/>
                <w:sz w:val="18"/>
              </w:rPr>
            </w:pPr>
            <w:r>
              <w:rPr>
                <w:rFonts w:ascii="Montserrat;sans-serif" w:hAnsi="Montserrat;sans-serif"/>
                <w:b/>
                <w:color w:val="000000"/>
                <w:sz w:val="18"/>
              </w:rPr>
              <w:t>Payment of Filing Fee (Check all boxes that apply):</w:t>
            </w:r>
          </w:p>
        </w:tc>
      </w:tr>
      <w:tr>
        <w:trPr/>
        <w:tc>
          <w:tcPr>
            <w:tcW w:w="456" w:type="dxa"/>
            <w:tcBorders>
              <w:left w:val="single" w:sz="4" w:space="0" w:color="000000"/>
              <w:bottom w:val="single" w:sz="4" w:space="0" w:color="000000"/>
            </w:tcBorders>
            <w:tcMar>
              <w:top w:w="0" w:type="dxa"/>
              <w:left w:w="40" w:type="dxa"/>
              <w:right w:w="0" w:type="dxa"/>
            </w:tcMar>
            <w:vAlign w:val="center"/>
          </w:tcPr>
          <w:p>
            <w:pPr>
              <w:pStyle w:val="TableContents"/>
              <w:bidi w:val="0"/>
              <w:spacing w:before="120" w:after="283"/>
              <w:ind w:left="20" w:right="20" w:firstLine="20"/>
              <w:jc w:val="center"/>
              <w:rPr/>
            </w:pPr>
            <w:r>
              <w:rPr/>
              <w:drawing>
                <wp:inline distT="0" distB="0" distL="0" distR="0">
                  <wp:extent cx="200025" cy="209550"/>
                  <wp:effectExtent l="0" t="0" r="0" b="0"/>
                  <wp:docPr id="3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9" descr=""/>
                          <pic:cNvPicPr>
                            <a:picLocks noChangeAspect="1" noChangeArrowheads="1"/>
                          </pic:cNvPicPr>
                        </pic:nvPicPr>
                        <pic:blipFill>
                          <a:blip r:embed="rId30"/>
                          <a:stretch>
                            <a:fillRect/>
                          </a:stretch>
                        </pic:blipFill>
                        <pic:spPr bwMode="auto">
                          <a:xfrm>
                            <a:off x="0" y="0"/>
                            <a:ext cx="200025" cy="209550"/>
                          </a:xfrm>
                          <a:prstGeom prst="rect">
                            <a:avLst/>
                          </a:prstGeom>
                        </pic:spPr>
                      </pic:pic>
                    </a:graphicData>
                  </a:graphic>
                </wp:inline>
              </w:drawing>
            </w:r>
          </w:p>
        </w:tc>
        <w:tc>
          <w:tcPr>
            <w:tcW w:w="9466" w:type="dxa"/>
            <w:tcBorders>
              <w:left w:val="single" w:sz="4" w:space="0" w:color="000000"/>
              <w:bottom w:val="single" w:sz="4" w:space="0" w:color="000000"/>
              <w:right w:val="single" w:sz="4" w:space="0" w:color="000000"/>
            </w:tcBorders>
            <w:tcMar>
              <w:top w:w="0" w:type="dxa"/>
              <w:left w:w="40" w:type="dxa"/>
              <w:right w:w="40" w:type="dxa"/>
            </w:tcMar>
            <w:vAlign w:val="center"/>
          </w:tcPr>
          <w:p>
            <w:pPr>
              <w:pStyle w:val="TableContents"/>
              <w:bidi w:val="0"/>
              <w:spacing w:before="120" w:after="283"/>
              <w:ind w:left="0" w:right="0" w:firstLine="20"/>
              <w:jc w:val="left"/>
              <w:rPr>
                <w:rFonts w:ascii="Montserrat;sans-serif" w:hAnsi="Montserrat;sans-serif"/>
                <w:color w:val="000000"/>
                <w:sz w:val="18"/>
              </w:rPr>
            </w:pPr>
            <w:r>
              <w:rPr>
                <w:rFonts w:ascii="Montserrat;sans-serif" w:hAnsi="Montserrat;sans-serif"/>
                <w:color w:val="000000"/>
                <w:sz w:val="18"/>
              </w:rPr>
              <w:t>No fee required</w:t>
            </w:r>
          </w:p>
        </w:tc>
      </w:tr>
      <w:tr>
        <w:trPr/>
        <w:tc>
          <w:tcPr>
            <w:tcW w:w="456" w:type="dxa"/>
            <w:tcBorders>
              <w:left w:val="single" w:sz="4" w:space="0" w:color="000000"/>
              <w:bottom w:val="single" w:sz="4" w:space="0" w:color="000000"/>
            </w:tcBorders>
            <w:tcMar>
              <w:top w:w="0" w:type="dxa"/>
              <w:left w:w="40" w:type="dxa"/>
              <w:right w:w="0" w:type="dxa"/>
            </w:tcMar>
            <w:vAlign w:val="center"/>
          </w:tcPr>
          <w:p>
            <w:pPr>
              <w:pStyle w:val="TableContents"/>
              <w:bidi w:val="0"/>
              <w:spacing w:before="120" w:after="283"/>
              <w:ind w:left="20" w:right="20" w:firstLine="20"/>
              <w:jc w:val="center"/>
              <w:rPr/>
            </w:pPr>
            <w:r>
              <w:rPr/>
              <w:drawing>
                <wp:inline distT="0" distB="0" distL="0" distR="0">
                  <wp:extent cx="200025" cy="209550"/>
                  <wp:effectExtent l="0" t="0" r="0" b="0"/>
                  <wp:docPr id="3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0" descr=""/>
                          <pic:cNvPicPr>
                            <a:picLocks noChangeAspect="1" noChangeArrowheads="1"/>
                          </pic:cNvPicPr>
                        </pic:nvPicPr>
                        <pic:blipFill>
                          <a:blip r:embed="rId31"/>
                          <a:stretch>
                            <a:fillRect/>
                          </a:stretch>
                        </pic:blipFill>
                        <pic:spPr bwMode="auto">
                          <a:xfrm>
                            <a:off x="0" y="0"/>
                            <a:ext cx="200025" cy="209550"/>
                          </a:xfrm>
                          <a:prstGeom prst="rect">
                            <a:avLst/>
                          </a:prstGeom>
                        </pic:spPr>
                      </pic:pic>
                    </a:graphicData>
                  </a:graphic>
                </wp:inline>
              </w:drawing>
            </w:r>
          </w:p>
        </w:tc>
        <w:tc>
          <w:tcPr>
            <w:tcW w:w="9466" w:type="dxa"/>
            <w:tcBorders>
              <w:left w:val="single" w:sz="4" w:space="0" w:color="000000"/>
              <w:bottom w:val="single" w:sz="4" w:space="0" w:color="000000"/>
              <w:right w:val="single" w:sz="4" w:space="0" w:color="000000"/>
            </w:tcBorders>
            <w:tcMar>
              <w:top w:w="0" w:type="dxa"/>
              <w:left w:w="40" w:type="dxa"/>
              <w:right w:w="40" w:type="dxa"/>
            </w:tcMar>
            <w:vAlign w:val="center"/>
          </w:tcPr>
          <w:p>
            <w:pPr>
              <w:pStyle w:val="TableContents"/>
              <w:bidi w:val="0"/>
              <w:spacing w:before="120" w:after="283"/>
              <w:ind w:left="0" w:right="0" w:firstLine="20"/>
              <w:jc w:val="left"/>
              <w:rPr>
                <w:rFonts w:ascii="Montserrat;sans-serif" w:hAnsi="Montserrat;sans-serif"/>
                <w:color w:val="000000"/>
                <w:sz w:val="18"/>
              </w:rPr>
            </w:pPr>
            <w:r>
              <w:rPr>
                <w:rFonts w:ascii="Montserrat;sans-serif" w:hAnsi="Montserrat;sans-serif"/>
                <w:color w:val="000000"/>
                <w:sz w:val="18"/>
              </w:rPr>
              <w:t>Fee paid previously with preliminary materials</w:t>
            </w:r>
          </w:p>
        </w:tc>
      </w:tr>
      <w:tr>
        <w:trPr/>
        <w:tc>
          <w:tcPr>
            <w:tcW w:w="456" w:type="dxa"/>
            <w:tcBorders>
              <w:left w:val="single" w:sz="4" w:space="0" w:color="000000"/>
              <w:bottom w:val="single" w:sz="4" w:space="0" w:color="000000"/>
            </w:tcBorders>
            <w:tcMar>
              <w:top w:w="0" w:type="dxa"/>
              <w:left w:w="40" w:type="dxa"/>
              <w:right w:w="0" w:type="dxa"/>
            </w:tcMar>
            <w:vAlign w:val="center"/>
          </w:tcPr>
          <w:p>
            <w:pPr>
              <w:pStyle w:val="TableContents"/>
              <w:bidi w:val="0"/>
              <w:spacing w:before="120" w:after="283"/>
              <w:ind w:left="20" w:right="20" w:firstLine="20"/>
              <w:jc w:val="center"/>
              <w:rPr/>
            </w:pPr>
            <w:r>
              <w:rPr/>
              <w:drawing>
                <wp:inline distT="0" distB="0" distL="0" distR="0">
                  <wp:extent cx="200025" cy="209550"/>
                  <wp:effectExtent l="0" t="0" r="0" b="0"/>
                  <wp:docPr id="3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1" descr=""/>
                          <pic:cNvPicPr>
                            <a:picLocks noChangeAspect="1" noChangeArrowheads="1"/>
                          </pic:cNvPicPr>
                        </pic:nvPicPr>
                        <pic:blipFill>
                          <a:blip r:embed="rId32"/>
                          <a:stretch>
                            <a:fillRect/>
                          </a:stretch>
                        </pic:blipFill>
                        <pic:spPr bwMode="auto">
                          <a:xfrm>
                            <a:off x="0" y="0"/>
                            <a:ext cx="200025" cy="209550"/>
                          </a:xfrm>
                          <a:prstGeom prst="rect">
                            <a:avLst/>
                          </a:prstGeom>
                        </pic:spPr>
                      </pic:pic>
                    </a:graphicData>
                  </a:graphic>
                </wp:inline>
              </w:drawing>
            </w:r>
          </w:p>
        </w:tc>
        <w:tc>
          <w:tcPr>
            <w:tcW w:w="9466" w:type="dxa"/>
            <w:tcBorders>
              <w:left w:val="single" w:sz="4" w:space="0" w:color="000000"/>
              <w:bottom w:val="single" w:sz="4" w:space="0" w:color="000000"/>
              <w:right w:val="single" w:sz="4" w:space="0" w:color="000000"/>
            </w:tcBorders>
            <w:tcMar>
              <w:top w:w="0" w:type="dxa"/>
              <w:left w:w="40" w:type="dxa"/>
              <w:right w:w="40" w:type="dxa"/>
            </w:tcMar>
            <w:vAlign w:val="center"/>
          </w:tcPr>
          <w:p>
            <w:pPr>
              <w:pStyle w:val="TableContents"/>
              <w:bidi w:val="0"/>
              <w:spacing w:before="120" w:after="283"/>
              <w:jc w:val="left"/>
              <w:rPr>
                <w:rFonts w:ascii="Montserrat;sans-serif" w:hAnsi="Montserrat;sans-serif"/>
                <w:color w:val="000000"/>
                <w:sz w:val="18"/>
              </w:rPr>
            </w:pPr>
            <w:r>
              <w:rPr>
                <w:rFonts w:ascii="Montserrat;sans-serif" w:hAnsi="Montserrat;sans-serif"/>
                <w:color w:val="000000"/>
                <w:sz w:val="18"/>
              </w:rPr>
              <w:t>Fee computed on table in exhibit required by Item 25(b) per Exchange Act Rules 14a-6(i)(1) and 0-11</w:t>
            </w:r>
          </w:p>
        </w:tc>
      </w:tr>
    </w:tbl>
    <w:p>
      <w:pPr>
        <w:pStyle w:val="TextBody"/>
        <w:bidi w:val="0"/>
        <w:spacing w:before="120" w:after="60"/>
        <w:jc w:val="center"/>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ind w:left="1080" w:right="0" w:hanging="0"/>
        <w:jc w:val="both"/>
        <w:rPr>
          <w:rFonts w:ascii="Montserrat;sans-serif" w:hAnsi="Montserrat;sans-serif"/>
          <w:color w:val="000000"/>
          <w:sz w:val="36"/>
        </w:rPr>
      </w:pPr>
      <w:r>
        <w:rPr>
          <w:rFonts w:ascii="Montserrat;sans-serif" w:hAnsi="Montserrat;sans-serif"/>
          <w:color w:val="000000"/>
          <w:sz w:val="36"/>
        </w:rPr>
        <w:t>Notice of</w:t>
      </w:r>
    </w:p>
    <w:p>
      <w:pPr>
        <w:pStyle w:val="TextBody"/>
        <w:bidi w:val="0"/>
        <w:ind w:left="1080" w:right="0" w:hanging="0"/>
        <w:jc w:val="both"/>
        <w:rPr>
          <w:rFonts w:ascii="Montserrat;sans-serif" w:hAnsi="Montserrat;sans-serif"/>
          <w:b/>
          <w:color w:val="7855FA"/>
          <w:sz w:val="60"/>
        </w:rPr>
      </w:pPr>
      <w:r>
        <w:rPr>
          <w:rFonts w:ascii="Montserrat;sans-serif" w:hAnsi="Montserrat;sans-serif"/>
          <w:b/>
          <w:color w:val="7855FA"/>
          <w:sz w:val="60"/>
        </w:rPr>
        <w:t>2026</w:t>
      </w:r>
    </w:p>
    <w:p>
      <w:pPr>
        <w:pStyle w:val="TextBody"/>
        <w:bidi w:val="0"/>
        <w:ind w:left="1080" w:right="0" w:hanging="0"/>
        <w:jc w:val="both"/>
        <w:rPr>
          <w:rFonts w:ascii="Montserrat;sans-serif" w:hAnsi="Montserrat;sans-serif"/>
          <w:color w:val="000000"/>
          <w:sz w:val="72"/>
        </w:rPr>
      </w:pPr>
      <w:r>
        <w:rPr>
          <w:rFonts w:ascii="Montserrat;sans-serif" w:hAnsi="Montserrat;sans-serif"/>
          <w:color w:val="000000"/>
          <w:sz w:val="72"/>
        </w:rPr>
        <w:t xml:space="preserve">Annual Meeting </w:t>
      </w:r>
    </w:p>
    <w:p>
      <w:pPr>
        <w:pStyle w:val="TextBody"/>
        <w:bidi w:val="0"/>
        <w:ind w:left="1080" w:right="0" w:hanging="0"/>
        <w:jc w:val="both"/>
        <w:rPr>
          <w:rFonts w:ascii="Montserrat;sans-serif" w:hAnsi="Montserrat;sans-serif"/>
          <w:color w:val="000000"/>
          <w:sz w:val="72"/>
        </w:rPr>
      </w:pPr>
      <w:r>
        <w:rPr>
          <w:rFonts w:ascii="Montserrat;sans-serif" w:hAnsi="Montserrat;sans-serif"/>
          <w:color w:val="000000"/>
          <w:sz w:val="72"/>
        </w:rPr>
        <w:t>and Proxy Statement</w:t>
      </w:r>
    </w:p>
    <w:p>
      <w:pPr>
        <w:pStyle w:val="TextBody"/>
        <w:bidi w:val="0"/>
        <w:spacing w:before="600" w:after="283"/>
        <w:ind w:left="1080" w:right="0" w:hanging="0"/>
        <w:jc w:val="both"/>
        <w:rPr>
          <w:rFonts w:ascii="Montserrat;sans-serif" w:hAnsi="Montserrat;sans-serif"/>
          <w:color w:val="000000"/>
          <w:sz w:val="26"/>
        </w:rPr>
      </w:pPr>
      <w:r>
        <w:rPr>
          <w:rFonts w:ascii="Montserrat;sans-serif" w:hAnsi="Montserrat;sans-serif"/>
          <w:color w:val="000000"/>
          <w:sz w:val="26"/>
        </w:rPr>
        <w:t>9:00 a.m., Pacific Time</w:t>
      </w:r>
    </w:p>
    <w:p>
      <w:pPr>
        <w:pStyle w:val="TextBody"/>
        <w:bidi w:val="0"/>
        <w:ind w:left="1080" w:right="0" w:hanging="0"/>
        <w:jc w:val="both"/>
        <w:rPr>
          <w:rFonts w:ascii="Montserrat;sans-serif" w:hAnsi="Montserrat;sans-serif"/>
          <w:color w:val="000000"/>
          <w:sz w:val="26"/>
        </w:rPr>
      </w:pPr>
      <w:r>
        <w:rPr>
          <w:rFonts w:ascii="Montserrat;sans-serif" w:hAnsi="Montserrat;sans-serif"/>
          <w:color w:val="000000"/>
          <w:sz w:val="26"/>
        </w:rPr>
        <w:t>Friday, December 11, 2026</w:t>
      </w:r>
    </w:p>
    <w:p>
      <w:pPr>
        <w:pStyle w:val="TextBody"/>
        <w:bidi w:val="0"/>
        <w:ind w:left="1080" w:right="0" w:hanging="0"/>
        <w:jc w:val="both"/>
        <w:rPr>
          <w:rFonts w:ascii="Montserrat;sans-serif" w:hAnsi="Montserrat;sans-serif"/>
          <w:color w:val="000000"/>
          <w:sz w:val="26"/>
        </w:rPr>
      </w:pPr>
      <w:r>
        <w:rPr>
          <w:rFonts w:ascii="Montserrat;sans-serif" w:hAnsi="Montserrat;sans-serif"/>
          <w:color w:val="000000"/>
          <w:sz w:val="26"/>
        </w:rPr>
        <w:t>Virtual Meeting Site: www.virtualshareholdermeeting.com/NTNX2026</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pPr>
      <w:r>
        <w:rPr/>
        <w:t> </w:t>
      </w:r>
    </w:p>
    <w:p>
      <w:pPr>
        <w:pStyle w:val="TextBody"/>
        <w:bidi w:val="0"/>
        <w:spacing w:before="60"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1133475" cy="1133475"/>
            <wp:effectExtent l="0" t="0" r="0" b="0"/>
            <wp:docPr id="4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3" descr=""/>
                    <pic:cNvPicPr>
                      <a:picLocks noChangeAspect="1" noChangeArrowheads="1"/>
                    </pic:cNvPicPr>
                  </pic:nvPicPr>
                  <pic:blipFill>
                    <a:blip r:embed="rId33"/>
                    <a:stretch>
                      <a:fillRect/>
                    </a:stretch>
                  </pic:blipFill>
                  <pic:spPr bwMode="auto">
                    <a:xfrm>
                      <a:off x="0" y="0"/>
                      <a:ext cx="1133475" cy="1133475"/>
                    </a:xfrm>
                    <a:prstGeom prst="rect">
                      <a:avLst/>
                    </a:prstGeom>
                  </pic:spPr>
                </pic:pic>
              </a:graphicData>
            </a:graphic>
          </wp:inline>
        </w:drawing>
      </w:r>
    </w:p>
    <w:p>
      <w:pPr>
        <w:pStyle w:val="TextBody"/>
        <w:bidi w:val="0"/>
        <w:jc w:val="both"/>
        <w:rPr/>
      </w:pPr>
      <w:r>
        <w:rPr/>
        <w:t> </w:t>
      </w:r>
    </w:p>
    <w:p>
      <w:pPr>
        <w:pStyle w:val="Heading1"/>
        <w:bidi w:val="0"/>
        <w:jc w:val="center"/>
        <w:rPr>
          <w:rFonts w:ascii="Montserrat SemiBold;sans-serif" w:hAnsi="Montserrat SemiBold;sans-serif"/>
          <w:sz w:val="52"/>
        </w:rPr>
      </w:pPr>
      <w:r>
        <w:rPr>
          <w:rFonts w:ascii="Montserrat SemiBold;sans-serif" w:hAnsi="Montserrat SemiBold;sans-serif"/>
          <w:b w:val="false"/>
          <w:color w:val="000000"/>
          <w:sz w:val="52"/>
        </w:rPr>
        <w:t>Letter from Our</w:t>
      </w:r>
      <w:r>
        <w:rPr>
          <w:rFonts w:ascii="Montserrat SemiBold;sans-serif" w:hAnsi="Montserrat SemiBold;sans-serif"/>
          <w:color w:val="000000"/>
          <w:sz w:val="52"/>
        </w:rPr>
        <w:t xml:space="preserve"> </w:t>
      </w:r>
    </w:p>
    <w:p>
      <w:pPr>
        <w:pStyle w:val="Heading1"/>
        <w:bidi w:val="0"/>
        <w:jc w:val="center"/>
        <w:rPr>
          <w:rFonts w:ascii="Montserrat SemiBold;sans-serif" w:hAnsi="Montserrat SemiBold;sans-serif"/>
          <w:b w:val="false"/>
          <w:color w:val="000000"/>
          <w:sz w:val="52"/>
        </w:rPr>
      </w:pPr>
      <w:r>
        <w:rPr>
          <w:rFonts w:ascii="Montserrat SemiBold;sans-serif" w:hAnsi="Montserrat SemiBold;sans-serif"/>
          <w:b w:val="false"/>
          <w:color w:val="000000"/>
          <w:sz w:val="52"/>
        </w:rPr>
        <w:t>Chief Executive Officer</w:t>
      </w:r>
    </w:p>
    <w:p>
      <w:pPr>
        <w:pStyle w:val="TextBody"/>
        <w:bidi w:val="0"/>
        <w:spacing w:before="480" w:after="283"/>
        <w:jc w:val="left"/>
        <w:rPr>
          <w:rFonts w:ascii="Montserrat;sans-serif" w:hAnsi="Montserrat;sans-serif"/>
          <w:b/>
          <w:color w:val="000000"/>
          <w:sz w:val="22"/>
        </w:rPr>
      </w:pPr>
      <w:r>
        <w:rPr>
          <w:rFonts w:ascii="Montserrat;sans-serif" w:hAnsi="Montserrat;sans-serif"/>
          <w:b/>
          <w:color w:val="000000"/>
          <w:sz w:val="22"/>
        </w:rPr>
        <w:t>Dear Stockholders,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Fiscal year 2026 was a year of strong execution and strategic progress for Nutanix. As organizations continue investments in modernizing their infrastructure and de-risking from legacy vendors, they increasingly turned to us for a trusted platform to run all of their applications and manage data wherever they reside. Despite headwinds from significantly increased hardware pricing and longer hardware lead times from our partners that impacted customer budgets and project timelines, we delivered solid top- and bottom-line performance, ending the year with good momentum. We expect infrastructure modernization, adoption of hybrid cloud and modern containerized applications, and increasing usage of AI to be continued growth drivers for us in fiscal year 2027.</w:t>
      </w:r>
    </w:p>
    <w:p>
      <w:pPr>
        <w:pStyle w:val="TextBody"/>
        <w:bidi w:val="0"/>
        <w:spacing w:before="360" w:after="283"/>
        <w:jc w:val="left"/>
        <w:rPr>
          <w:rFonts w:ascii="Montserrat;sans-serif" w:hAnsi="Montserrat;sans-serif"/>
          <w:b/>
          <w:color w:val="7855FA"/>
          <w:sz w:val="22"/>
        </w:rPr>
      </w:pPr>
      <w:r>
        <w:rPr>
          <w:rFonts w:ascii="Montserrat;sans-serif" w:hAnsi="Montserrat;sans-serif"/>
          <w:b/>
          <w:color w:val="7855FA"/>
          <w:sz w:val="22"/>
        </w:rPr>
        <w:t>Delivering Growth and Profitability</w:t>
      </w:r>
    </w:p>
    <w:p>
      <w:pPr>
        <w:pStyle w:val="TextBody"/>
        <w:bidi w:val="0"/>
        <w:spacing w:lineRule="auto" w:line="360" w:before="120" w:after="283"/>
        <w:jc w:val="both"/>
        <w:rPr>
          <w:rFonts w:ascii="Montserrat;sans-serif" w:hAnsi="Montserrat;sans-serif"/>
          <w:sz w:val="12"/>
        </w:rPr>
      </w:pPr>
      <w:r>
        <w:rPr>
          <w:rFonts w:ascii="Montserrat;sans-serif" w:hAnsi="Montserrat;sans-serif"/>
          <w:color w:val="000000"/>
          <w:sz w:val="18"/>
        </w:rPr>
        <w:t>Fiscal year 2026 marked another year of solid financial performance. We generated annual revenue of $2.85 billion, representing 12% year-over-year growth and $2.55 billion in ARR, representing 16% year-over-year growth. We also delivered record free cash flow of $841 million, representing a free cash flow margin of 29%, and achieved our third consecutive year surpassing the Rule of 40</w:t>
      </w:r>
      <w:r>
        <w:rPr>
          <w:rFonts w:ascii="Montserrat;sans-serif" w:hAnsi="Montserrat;sans-serif"/>
          <w:color w:val="000000"/>
          <w:sz w:val="12"/>
        </w:rPr>
        <w:t>(1)</w:t>
      </w:r>
      <w:r>
        <w:rPr>
          <w:rFonts w:ascii="Montserrat;sans-serif" w:hAnsi="Montserrat;sans-serif"/>
          <w:color w:val="000000"/>
          <w:sz w:val="18"/>
        </w:rPr>
        <w:t>. During the year, we added more than 3,000 new customers, reflecting broad-based demand across industries and geographies.</w:t>
      </w:r>
      <w:r>
        <w:rPr>
          <w:rFonts w:ascii="Montserrat;sans-serif" w:hAnsi="Montserrat;sans-serif"/>
          <w:color w:val="000000"/>
          <w:sz w:val="12"/>
        </w:rPr>
        <w:t xml:space="preserve"> </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combination of revenue growth, increasing profitability, and strong cash generation highlights the continued evolution of Nutanix into a hybrid cloud leader and AI platform company with a durable business model.</w:t>
      </w:r>
    </w:p>
    <w:p>
      <w:pPr>
        <w:pStyle w:val="TextBody"/>
        <w:bidi w:val="0"/>
        <w:spacing w:before="360" w:after="283"/>
        <w:jc w:val="left"/>
        <w:rPr>
          <w:rFonts w:ascii="Montserrat;sans-serif" w:hAnsi="Montserrat;sans-serif"/>
          <w:b/>
          <w:color w:val="7855FA"/>
          <w:sz w:val="22"/>
        </w:rPr>
      </w:pPr>
      <w:r>
        <w:rPr>
          <w:rFonts w:ascii="Montserrat;sans-serif" w:hAnsi="Montserrat;sans-serif"/>
          <w:b/>
          <w:color w:val="7855FA"/>
          <w:sz w:val="22"/>
        </w:rPr>
        <w:t>Helping Customers Modernize on Their Terms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core principle guiding our strategy is simple: customers want choice and flexibility. Few organizations operate entirely in a single environment, and most are balancing existing investments with the need to modernize for the future. We believe enterprises should benefit from both innovation and operational simplicity, rather than having to choose between them.</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That belief continues to shape the Nutanix Cloud Platform. We have expanded our platform to support a broader set of infrastructure and deployment options, enabling customers to run both modern and traditional applications and data across private and public cloud environments while maintaining a consistent operating model and, in some cases, continue using existing infrastructure and storage investments as they modernize their environments. Expanding our support for external storage removes a major barrier to adoption, allowing customers to modernize their compute and management capabilities without replacing their proven storage investments.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Whether modernizing traditional infrastructure, adopting Kubernetes-based applications, or extending workloads into public cloud environments, customers increasingly rely on Nutanix to reduce complexity and provide operational consistency. This value proposition continues to resonate strongly in the market. Organizations are seeking solutions that reduce operational burden, minimize architectural lock-in, and allow them to evolve at their own pace. Our ability to meet customers where they are, while providing a path forward, is a key differentiator.</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2641"/>
        <w:gridCol w:w="331"/>
      </w:tblGrid>
      <w:tr>
        <w:trPr/>
        <w:tc>
          <w:tcPr>
            <w:tcW w:w="26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4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4" descr=""/>
                          <pic:cNvPicPr>
                            <a:picLocks noChangeAspect="1" noChangeArrowheads="1"/>
                          </pic:cNvPicPr>
                        </pic:nvPicPr>
                        <pic:blipFill>
                          <a:blip r:embed="rId34"/>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3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01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rFonts w:ascii="Montserrat;sans-serif" w:hAnsi="Montserrat;sans-serif"/>
          <w:color w:val="000000"/>
          <w:sz w:val="13"/>
        </w:rPr>
      </w:pPr>
      <w:r>
        <w:rPr>
          <w:rFonts w:ascii="Montserrat;sans-serif" w:hAnsi="Montserrat;sans-serif"/>
          <w:color w:val="000000"/>
          <w:sz w:val="13"/>
        </w:rPr>
        <w:t>Letter from Our Chief Executive Officer</w:t>
      </w:r>
    </w:p>
    <w:p>
      <w:pPr>
        <w:pStyle w:val="TextBody"/>
        <w:bidi w:val="0"/>
        <w:spacing w:before="60" w:after="283"/>
        <w:jc w:val="left"/>
        <w:rPr/>
      </w:pPr>
      <w:r>
        <w:rPr/>
        <w:t> </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Montserrat;sans-serif" w:hAnsi="Montserrat;sans-serif"/>
          <w:b/>
          <w:color w:val="7855FA"/>
          <w:sz w:val="22"/>
        </w:rPr>
      </w:pPr>
      <w:r>
        <w:rPr>
          <w:rFonts w:ascii="Montserrat;sans-serif" w:hAnsi="Montserrat;sans-serif"/>
          <w:b/>
          <w:color w:val="7855FA"/>
          <w:sz w:val="22"/>
        </w:rPr>
        <w:t>Enabling Enterprise AI</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Artificial intelligence represents one of the most significant technology shifts in decades. During fiscal year 2026, we continued to invest in helping customers move AI initiatives from pilot projects to production deployments. Successful enterprise AI adoption depends on more than access to models or computing resources. Organizations need a secure and scalable platform that connects AI applications to their existing data, infrastructure, and business processes while maintaining governance and control. We believe Nutanix is uniquely positioned to help customers achieve this across hybrid multicloud environments.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Throughout the year, we enhanced our platform capabilities to support AI workloads and agentic AI use cases, while continuing to strengthen our Kubernetes and cloud-native application offerings. Our dual-native architecture, which enables virtual machines and containers to run side-by-side, provides customers with a practical foundation for integrating AI into existing environments without creating additional operational silos.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We also expanded our AI ecosystem through strategic partnerships and new platform capabilities that simplify access to AI infrastructure and services. As organizations increasingly seek to deploy AI securely and efficiently, we believe Nutanix is well positioned to become a trusted platform for enterprise AI adoption.</w:t>
      </w:r>
    </w:p>
    <w:p>
      <w:pPr>
        <w:pStyle w:val="TextBody"/>
        <w:bidi w:val="0"/>
        <w:spacing w:before="360" w:after="283"/>
        <w:jc w:val="left"/>
        <w:rPr>
          <w:rFonts w:ascii="Montserrat;sans-serif" w:hAnsi="Montserrat;sans-serif"/>
          <w:b/>
          <w:color w:val="7855FA"/>
          <w:sz w:val="22"/>
        </w:rPr>
      </w:pPr>
      <w:r>
        <w:rPr>
          <w:rFonts w:ascii="Montserrat;sans-serif" w:hAnsi="Montserrat;sans-serif"/>
          <w:b/>
          <w:color w:val="7855FA"/>
          <w:sz w:val="22"/>
        </w:rPr>
        <w:t>Expanding our Strategic Ecosystem</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 xml:space="preserve">Partnerships remain an important component of our strategy. Over the past year, we expanded collaborations across cloud providers, hardware platforms, semiconductor leaders, and AI infrastructure partners. This included signing new or enhanced agreements with industry leaders such as AMD, Lenovo, NetApp, and NVIDIA. Our focus continues to remain on expanding the addressability of our solutions across a broad set of partner platforms where customers can standardize on Nutanix. </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Finally, our strategic partnership with ChronoScale to deliver GPU-as-a-Service represents some early success with our initiative to support a new generation of AI cloud providers, or neoclouds. By providing an essential foundation for agentic AI at scale, Nutanix is uniquely positioned to capture the growing demand for enterprise AI, helping us remain a trusted partner for organizations looking to convert AI potential into tangible business outcomes.</w:t>
      </w:r>
    </w:p>
    <w:p>
      <w:pPr>
        <w:pStyle w:val="TextBody"/>
        <w:bidi w:val="0"/>
        <w:spacing w:before="360" w:after="283"/>
        <w:jc w:val="left"/>
        <w:rPr>
          <w:rFonts w:ascii="Montserrat;sans-serif" w:hAnsi="Montserrat;sans-serif"/>
          <w:b/>
          <w:color w:val="7855FA"/>
          <w:sz w:val="22"/>
        </w:rPr>
      </w:pPr>
      <w:r>
        <w:rPr>
          <w:rFonts w:ascii="Montserrat;sans-serif" w:hAnsi="Montserrat;sans-serif"/>
          <w:b/>
          <w:color w:val="7855FA"/>
          <w:sz w:val="22"/>
        </w:rPr>
        <w:t>Looking Ahead</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As we enter fiscal year 2027, we remain focused on delivering sustainable, profitable growth while continuing to expand our market opportunity. We believe the long-term demand drivers supporting our business remain strong. Organizations continue to modernize infrastructure, adopt hybrid multicloud operating models, embrace Kubernetes-based applications, and seek practical approaches to deploying AI securely and at scale.</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Our mission remains unchanged: to simplify how customers run applications and manage data across increasingly complex environments. By continuing to innovate, deepen customer relationships, and expand our ecosystem, we believe Nutanix is well positioned to capitalize on these opportunities and create long-term value for our stockholders.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I want to extend my gratitude to our customers and partners for their continued trust, to our employees for their innovation and execution, and to our stockholders for your ongoing support. We look forward to another year of shared success.</w:t>
      </w:r>
    </w:p>
    <w:p>
      <w:pPr>
        <w:pStyle w:val="TextBody"/>
        <w:bidi w:val="0"/>
        <w:jc w:val="both"/>
        <w:rPr/>
      </w:pPr>
      <w:r>
        <w:rPr/>
        <w:t> </w:t>
      </w:r>
    </w:p>
    <w:tbl>
      <w:tblPr>
        <w:tblW w:w="3367" w:type="dxa"/>
        <w:jc w:val="left"/>
        <w:tblInd w:w="0" w:type="dxa"/>
        <w:tblLayout w:type="fixed"/>
        <w:tblCellMar>
          <w:top w:w="28" w:type="dxa"/>
          <w:left w:w="28" w:type="dxa"/>
          <w:bottom w:w="28" w:type="dxa"/>
          <w:right w:w="28" w:type="dxa"/>
        </w:tblCellMar>
      </w:tblPr>
      <w:tblGrid>
        <w:gridCol w:w="161"/>
        <w:gridCol w:w="3206"/>
      </w:tblGrid>
      <w:tr>
        <w:trPr/>
        <w:tc>
          <w:tcPr>
            <w:tcW w:w="161" w:type="dxa"/>
            <w:tcBorders/>
            <w:vAlign w:val="center"/>
          </w:tcPr>
          <w:p>
            <w:pPr>
              <w:pStyle w:val="TableContents"/>
              <w:bidi w:val="0"/>
              <w:spacing w:before="0" w:after="283"/>
              <w:jc w:val="left"/>
              <w:rPr>
                <w:sz w:val="4"/>
                <w:szCs w:val="4"/>
              </w:rPr>
            </w:pPr>
            <w:r>
              <w:rPr>
                <w:sz w:val="4"/>
                <w:szCs w:val="4"/>
              </w:rPr>
            </w:r>
          </w:p>
        </w:tc>
        <w:tc>
          <w:tcPr>
            <w:tcW w:w="32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120" w:after="283"/>
              <w:jc w:val="left"/>
              <w:rPr/>
            </w:pPr>
            <w:r>
              <w:rPr/>
              <w:t> </w:t>
            </w:r>
          </w:p>
        </w:tc>
        <w:tc>
          <w:tcPr>
            <w:tcW w:w="320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952625" cy="352425"/>
                  <wp:effectExtent l="0" t="0" r="0" b="0"/>
                  <wp:docPr id="4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5" descr=""/>
                          <pic:cNvPicPr>
                            <a:picLocks noChangeAspect="1" noChangeArrowheads="1"/>
                          </pic:cNvPicPr>
                        </pic:nvPicPr>
                        <pic:blipFill>
                          <a:blip r:embed="rId35"/>
                          <a:stretch>
                            <a:fillRect/>
                          </a:stretch>
                        </pic:blipFill>
                        <pic:spPr bwMode="auto">
                          <a:xfrm>
                            <a:off x="0" y="0"/>
                            <a:ext cx="1952625" cy="352425"/>
                          </a:xfrm>
                          <a:prstGeom prst="rect">
                            <a:avLst/>
                          </a:prstGeom>
                        </pic:spPr>
                      </pic:pic>
                    </a:graphicData>
                  </a:graphic>
                </wp:inline>
              </w:drawing>
            </w:r>
          </w:p>
        </w:tc>
      </w:tr>
      <w:tr>
        <w:trPr/>
        <w:tc>
          <w:tcPr>
            <w:tcW w:w="161" w:type="dxa"/>
            <w:tcBorders/>
            <w:tcMar>
              <w:top w:w="0" w:type="dxa"/>
              <w:left w:w="0" w:type="dxa"/>
              <w:bottom w:w="0" w:type="dxa"/>
              <w:right w:w="0" w:type="dxa"/>
            </w:tcMar>
            <w:vAlign w:val="center"/>
          </w:tcPr>
          <w:p>
            <w:pPr>
              <w:pStyle w:val="TableContents"/>
              <w:bidi w:val="0"/>
              <w:spacing w:before="120" w:after="283"/>
              <w:jc w:val="left"/>
              <w:rPr/>
            </w:pPr>
            <w:r>
              <w:rPr/>
              <w:t> </w:t>
            </w:r>
          </w:p>
        </w:tc>
        <w:tc>
          <w:tcPr>
            <w:tcW w:w="3206" w:type="dxa"/>
            <w:tcBorders/>
            <w:tcMar>
              <w:top w:w="0" w:type="dxa"/>
              <w:left w:w="0" w:type="dxa"/>
              <w:bottom w:w="0" w:type="dxa"/>
              <w:right w:w="0" w:type="dxa"/>
            </w:tcMar>
            <w:vAlign w:val="center"/>
          </w:tcPr>
          <w:p>
            <w:pPr>
              <w:pStyle w:val="TableContents"/>
              <w:bidi w:val="0"/>
              <w:spacing w:before="120" w:after="283"/>
              <w:jc w:val="right"/>
              <w:rPr>
                <w:rFonts w:ascii="Montserrat;sans-serif" w:hAnsi="Montserrat;sans-serif"/>
                <w:b/>
                <w:color w:val="7855FA"/>
                <w:sz w:val="18"/>
              </w:rPr>
            </w:pPr>
            <w:r>
              <w:rPr>
                <w:rFonts w:ascii="Montserrat;sans-serif" w:hAnsi="Montserrat;sans-serif"/>
                <w:b/>
                <w:color w:val="7855FA"/>
                <w:sz w:val="18"/>
              </w:rPr>
              <w:t>Rajiv Ramaswami</w:t>
            </w:r>
          </w:p>
        </w:tc>
      </w:tr>
      <w:tr>
        <w:trPr/>
        <w:tc>
          <w:tcPr>
            <w:tcW w:w="161" w:type="dxa"/>
            <w:tcBorders/>
            <w:tcMar>
              <w:top w:w="0" w:type="dxa"/>
              <w:left w:w="0" w:type="dxa"/>
              <w:bottom w:w="0" w:type="dxa"/>
              <w:right w:w="0" w:type="dxa"/>
            </w:tcMar>
            <w:vAlign w:val="center"/>
          </w:tcPr>
          <w:p>
            <w:pPr>
              <w:pStyle w:val="TableContents"/>
              <w:bidi w:val="0"/>
              <w:spacing w:before="120" w:after="283"/>
              <w:jc w:val="left"/>
              <w:rPr/>
            </w:pPr>
            <w:r>
              <w:rPr/>
              <w:t> </w:t>
            </w:r>
          </w:p>
        </w:tc>
        <w:tc>
          <w:tcPr>
            <w:tcW w:w="3206" w:type="dxa"/>
            <w:tcBorders/>
            <w:tcMar>
              <w:top w:w="0" w:type="dxa"/>
              <w:left w:w="0" w:type="dxa"/>
              <w:bottom w:w="0" w:type="dxa"/>
              <w:right w:w="0" w:type="dxa"/>
            </w:tcMar>
            <w:vAlign w:val="center"/>
          </w:tcPr>
          <w:p>
            <w:pPr>
              <w:pStyle w:val="TableContents"/>
              <w:bidi w:val="0"/>
              <w:spacing w:before="120" w:after="283"/>
              <w:jc w:val="right"/>
              <w:rPr>
                <w:color w:val="000000"/>
              </w:rPr>
            </w:pPr>
            <w:r>
              <w:rPr>
                <w:color w:val="000000"/>
              </w:rPr>
              <w:t> </w:t>
            </w:r>
            <w:r>
              <w:rPr>
                <w:rFonts w:ascii="Montserrat;sans-serif" w:hAnsi="Montserrat;sans-serif"/>
                <w:color w:val="000000"/>
                <w:sz w:val="18"/>
              </w:rPr>
              <w:t>Chief Executive Officer</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(1)</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Rule of 40 is defined as the sum of revenue growth rate and free cash flow margin being greater than or equal to 40%.</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301"/>
        <w:gridCol w:w="2671"/>
      </w:tblGrid>
      <w:tr>
        <w:trPr/>
        <w:tc>
          <w:tcPr>
            <w:tcW w:w="30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02</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4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6" descr=""/>
                          <pic:cNvPicPr>
                            <a:picLocks noChangeAspect="1" noChangeArrowheads="1"/>
                          </pic:cNvPicPr>
                        </pic:nvPicPr>
                        <pic:blipFill>
                          <a:blip r:embed="rId36"/>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ind w:left="0" w:right="0" w:hanging="0"/>
        <w:jc w:val="left"/>
        <w:rPr/>
      </w:pPr>
      <w:r>
        <w:rPr/>
        <w:t> </w:t>
      </w:r>
    </w:p>
    <w:p>
      <w:pPr>
        <w:pStyle w:val="TextBody"/>
        <w:bidi w:val="0"/>
        <w:spacing w:before="60" w:after="283"/>
        <w:jc w:val="left"/>
        <w:rPr/>
      </w:pPr>
      <w:r>
        <w:rPr/>
        <w:t> </w:t>
      </w:r>
    </w:p>
    <w:p>
      <w:pPr>
        <w:pStyle w:val="TextBody"/>
        <w:bidi w:val="0"/>
        <w:jc w:val="left"/>
        <w:rPr/>
      </w:pPr>
      <w:r>
        <w:rPr/>
        <w:t> </w:t>
      </w:r>
    </w:p>
    <w:p>
      <w:pPr>
        <w:pStyle w:val="TextBody"/>
        <w:bidi w:val="0"/>
        <w:jc w:val="left"/>
        <w:rPr/>
      </w:pPr>
      <w:r>
        <w:rPr/>
        <w:t> </w:t>
      </w:r>
    </w:p>
    <w:p>
      <w:pPr>
        <w:pStyle w:val="TextBody"/>
        <w:bidi w:val="0"/>
        <w:jc w:val="both"/>
        <w:rPr/>
      </w:pPr>
      <w:r>
        <w:rPr/>
        <w:drawing>
          <wp:inline distT="0" distB="0" distL="0" distR="0">
            <wp:extent cx="1685925" cy="219075"/>
            <wp:effectExtent l="0" t="0" r="0" b="0"/>
            <wp:docPr id="4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6" descr=""/>
                    <pic:cNvPicPr>
                      <a:picLocks noChangeAspect="1" noChangeArrowheads="1"/>
                    </pic:cNvPicPr>
                  </pic:nvPicPr>
                  <pic:blipFill>
                    <a:blip r:embed="rId37"/>
                    <a:stretch>
                      <a:fillRect/>
                    </a:stretch>
                  </pic:blipFill>
                  <pic:spPr bwMode="auto">
                    <a:xfrm>
                      <a:off x="0" y="0"/>
                      <a:ext cx="1685925" cy="219075"/>
                    </a:xfrm>
                    <a:prstGeom prst="rect">
                      <a:avLst/>
                    </a:prstGeom>
                  </pic:spPr>
                </pic:pic>
              </a:graphicData>
            </a:graphic>
          </wp:inline>
        </w:drawing>
      </w:r>
    </w:p>
    <w:p>
      <w:pPr>
        <w:pStyle w:val="Heading1"/>
        <w:bidi w:val="0"/>
        <w:spacing w:before="480" w:after="283"/>
        <w:jc w:val="left"/>
        <w:rPr>
          <w:rFonts w:ascii="Montserrat;sans-serif" w:hAnsi="Montserrat;sans-serif"/>
          <w:color w:val="000000"/>
          <w:sz w:val="56"/>
        </w:rPr>
      </w:pPr>
      <w:r>
        <w:rPr>
          <w:rFonts w:ascii="Montserrat;sans-serif" w:hAnsi="Montserrat;sans-serif"/>
          <w:color w:val="000000"/>
          <w:sz w:val="56"/>
        </w:rPr>
        <w:t>Notice of 2026 Annual Meeting of Stockholders</w:t>
      </w:r>
    </w:p>
    <w:p>
      <w:pPr>
        <w:pStyle w:val="Heading1"/>
        <w:bidi w:val="0"/>
        <w:jc w:val="left"/>
        <w:rPr/>
      </w:pPr>
      <w:r>
        <w:rPr/>
        <w:t> </w:t>
      </w:r>
    </w:p>
    <w:p>
      <w:pPr>
        <w:pStyle w:val="Heading1"/>
        <w:bidi w:val="0"/>
        <w:jc w:val="left"/>
        <w:rPr/>
      </w:pPr>
      <w:r>
        <w:rPr/>
        <w:t> </w:t>
      </w:r>
    </w:p>
    <w:tbl>
      <w:tblPr>
        <w:tblW w:w="2972" w:type="dxa"/>
        <w:jc w:val="left"/>
        <w:tblInd w:w="0" w:type="dxa"/>
        <w:tblLayout w:type="fixed"/>
        <w:tblCellMar>
          <w:top w:w="28" w:type="dxa"/>
          <w:left w:w="28" w:type="dxa"/>
          <w:bottom w:w="28" w:type="dxa"/>
          <w:right w:w="28" w:type="dxa"/>
        </w:tblCellMar>
      </w:tblPr>
      <w:tblGrid>
        <w:gridCol w:w="2641"/>
        <w:gridCol w:w="331"/>
      </w:tblGrid>
      <w:tr>
        <w:trPr/>
        <w:tc>
          <w:tcPr>
            <w:tcW w:w="26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4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7" descr=""/>
                          <pic:cNvPicPr>
                            <a:picLocks noChangeAspect="1" noChangeArrowheads="1"/>
                          </pic:cNvPicPr>
                        </pic:nvPicPr>
                        <pic:blipFill>
                          <a:blip r:embed="rId38"/>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3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03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rFonts w:ascii="Montserrat;sans-serif" w:hAnsi="Montserrat;sans-serif"/>
          <w:color w:val="000000"/>
          <w:sz w:val="13"/>
        </w:rPr>
      </w:pPr>
      <w:r>
        <w:rPr>
          <w:rFonts w:ascii="Montserrat;sans-serif" w:hAnsi="Montserrat;sans-serif"/>
          <w:color w:val="000000"/>
          <w:sz w:val="13"/>
        </w:rPr>
        <w:t>Notice of 2026 Annual Meeting of Stockholders</w:t>
      </w:r>
    </w:p>
    <w:p>
      <w:pPr>
        <w:pStyle w:val="TextBody"/>
        <w:bidi w:val="0"/>
        <w:spacing w:before="60" w:after="283"/>
        <w:jc w:val="left"/>
        <w:rPr/>
      </w:pPr>
      <w:r>
        <w:rPr/>
        <w:t> </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both"/>
        <w:rPr>
          <w:rFonts w:ascii="Montserrat;sans-serif" w:hAnsi="Montserrat;sans-serif"/>
          <w:color w:val="000000"/>
          <w:sz w:val="18"/>
        </w:rPr>
      </w:pPr>
      <w:r>
        <w:rPr>
          <w:rFonts w:ascii="Montserrat;sans-serif" w:hAnsi="Montserrat;sans-serif"/>
          <w:color w:val="000000"/>
          <w:sz w:val="18"/>
        </w:rPr>
        <w:t>In the event of a technical malfunction or other situation that the meeting chair determines may affect the ability of the Annual Meeting to satisfy the requirements for a meeting of stockholders to be held by means of remote communication under applicable Delaware corporate law, or that otherwise makes it advisable to adjourn the Annual Meeting, the chair or secretary of the Annual Meeting will convene the meeting virtually at 12:00 p.m. Pacific Time on the date specified above solely for the purpose of adjourning the meeting to reconvene at a date, time and physical or virtual location announced by the meeting chair. Under either of the foregoing circumstances, we will post information regarding the announcement on our investor relations website at http://ir.nutanix.com.</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By Order of the Board of Directors,</w:t>
      </w:r>
    </w:p>
    <w:p>
      <w:pPr>
        <w:pStyle w:val="TextBody"/>
        <w:bidi w:val="0"/>
        <w:jc w:val="both"/>
        <w:rPr/>
      </w:pPr>
      <w:r>
        <w:rPr/>
        <w:t> </w:t>
      </w:r>
    </w:p>
    <w:tbl>
      <w:tblPr>
        <w:tblW w:w="3221" w:type="dxa"/>
        <w:jc w:val="left"/>
        <w:tblInd w:w="0" w:type="dxa"/>
        <w:tblLayout w:type="fixed"/>
        <w:tblCellMar>
          <w:top w:w="28" w:type="dxa"/>
          <w:left w:w="28" w:type="dxa"/>
          <w:bottom w:w="28" w:type="dxa"/>
          <w:right w:w="28" w:type="dxa"/>
        </w:tblCellMar>
      </w:tblPr>
      <w:tblGrid>
        <w:gridCol w:w="3221"/>
      </w:tblGrid>
      <w:tr>
        <w:trPr/>
        <w:tc>
          <w:tcPr>
            <w:tcW w:w="3221" w:type="dxa"/>
            <w:tcBorders/>
            <w:vAlign w:val="center"/>
          </w:tcPr>
          <w:p>
            <w:pPr>
              <w:pStyle w:val="TableContents"/>
              <w:bidi w:val="0"/>
              <w:spacing w:before="0" w:after="283"/>
              <w:jc w:val="left"/>
              <w:rPr>
                <w:sz w:val="4"/>
                <w:szCs w:val="4"/>
              </w:rPr>
            </w:pPr>
            <w:r>
              <w:rPr>
                <w:sz w:val="4"/>
                <w:szCs w:val="4"/>
              </w:rPr>
            </w:r>
          </w:p>
        </w:tc>
      </w:tr>
      <w:tr>
        <w:trPr/>
        <w:tc>
          <w:tcPr>
            <w:tcW w:w="322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952625" cy="352425"/>
                  <wp:effectExtent l="0" t="0" r="0" b="0"/>
                  <wp:docPr id="4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8" descr=""/>
                          <pic:cNvPicPr>
                            <a:picLocks noChangeAspect="1" noChangeArrowheads="1"/>
                          </pic:cNvPicPr>
                        </pic:nvPicPr>
                        <pic:blipFill>
                          <a:blip r:embed="rId39"/>
                          <a:stretch>
                            <a:fillRect/>
                          </a:stretch>
                        </pic:blipFill>
                        <pic:spPr bwMode="auto">
                          <a:xfrm>
                            <a:off x="0" y="0"/>
                            <a:ext cx="1952625" cy="352425"/>
                          </a:xfrm>
                          <a:prstGeom prst="rect">
                            <a:avLst/>
                          </a:prstGeom>
                        </pic:spPr>
                      </pic:pic>
                    </a:graphicData>
                  </a:graphic>
                </wp:inline>
              </w:drawing>
            </w:r>
          </w:p>
        </w:tc>
      </w:tr>
      <w:tr>
        <w:trPr/>
        <w:tc>
          <w:tcPr>
            <w:tcW w:w="322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8"/>
              </w:rPr>
            </w:pPr>
            <w:r>
              <w:rPr>
                <w:rFonts w:ascii="Montserrat;sans-serif" w:hAnsi="Montserrat;sans-serif"/>
                <w:b/>
                <w:color w:val="7855FA"/>
                <w:sz w:val="18"/>
              </w:rPr>
              <w:t>Rajiv Ramaswami</w:t>
            </w:r>
          </w:p>
        </w:tc>
      </w:tr>
      <w:tr>
        <w:trPr/>
        <w:tc>
          <w:tcPr>
            <w:tcW w:w="322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Chief Executive Officer</w:t>
              <w:br/>
              <w:t>San Jose, California</w:t>
            </w:r>
          </w:p>
        </w:tc>
      </w:tr>
      <w:tr>
        <w:trPr/>
        <w:tc>
          <w:tcPr>
            <w:tcW w:w="322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October 20, 2026</w:t>
            </w:r>
          </w:p>
        </w:tc>
      </w:tr>
    </w:tbl>
    <w:p>
      <w:pPr>
        <w:pStyle w:val="TextBody"/>
        <w:bidi w:val="0"/>
        <w:jc w:val="both"/>
        <w:rPr/>
      </w:pPr>
      <w:r>
        <w:rPr/>
        <w:t> </w:t>
      </w:r>
    </w:p>
    <w:p>
      <w:pPr>
        <w:pStyle w:val="TextBody"/>
        <w:bidi w:val="0"/>
        <w:jc w:val="both"/>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You are cordially invited to attend the virtual Annual Meeting. YOUR VOTE IS IMPORTANT. Whether or not you expect to attend the Annual Meeting, you are urged to vote and submit your proxy by following the voting procedures described in the proxy card. Even if you have voted by proxy, you may still vote during the Annual Meeting. If your shares are held of record by a broker, bank or other agent and you wish to vote during the Annual Meeting, you must follow the instructions from your broker, bank or other agent.</w:t>
      </w:r>
    </w:p>
    <w:p>
      <w:pPr>
        <w:pStyle w:val="TextBody"/>
        <w:bidi w:val="0"/>
        <w:spacing w:before="120" w:after="283"/>
        <w:jc w:val="both"/>
        <w:rPr>
          <w:rFonts w:ascii="Montserrat;sans-serif" w:hAnsi="Montserrat;sans-serif"/>
          <w:sz w:val="18"/>
        </w:rPr>
      </w:pPr>
      <w:r>
        <w:rPr>
          <w:rFonts w:ascii="Montserrat;sans-serif" w:hAnsi="Montserrat;sans-serif"/>
          <w:b/>
          <w:color w:val="000000"/>
          <w:sz w:val="18"/>
        </w:rPr>
        <w:t>Cautionary Note Regarding Forward-Looking Statements</w:t>
      </w:r>
      <w:r>
        <w:rPr>
          <w:rFonts w:ascii="Montserrat;sans-serif" w:hAnsi="Montserrat;sans-serif"/>
          <w:color w:val="000000"/>
          <w:sz w:val="18"/>
        </w:rPr>
        <w:t>. The Letter from Our Chief Executive Officer and the accompanying proxy statement contain forward-looking statements, which statements involve substantial risks and uncertainties. Other than statements of historical fact, all statements contained in this proxy statement, including statements regarding our future results of operations and financial position, our business strategy and plans and our objectives for future operations, are forward-looking statements. The words “believe,” “may,” “will,” “potentially,” “estimate,” “continue,” “anticipate,” “plan,” “intend,” “could,” “would,” “expect,” “look to” or words or expressions of similar substance or the negative thereof, that convey uncertainty of future events or outcomes are intended to identify forward-looking statements. Forward-looking statements included in this letter and the accompanying proxy statement include statements regarding our expectations, objectives, beliefs, strategies, opportunities, priorities and anticipated future trends, including expectations regarding future demand for infrastructure modernization, hybrid multicloud solutions, Kubernetes-based applications and enterprise AI; our expectations regarding fiscal 2027 growth drivers and business momentum; customer adoption of our products, platforms and services; the development, availability, expansion and benefits of our product offerings, platform capabilities and strategic partnerships; our ability to help customers deploy AI, modernize infrastructure and manage data across hybrid multicloud environments; our competitive position and market opportunities; our ability to drive sustainable growth, profitability and cash flow generation; and our ability to create long-term value for stockholders.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in light of the information currently available to us. These forward-looking statements are subject to a number of risks, uncertainties and assumptions, including those described in our Annual Report on Form 10-K for the fiscal year ended July 31, 2026 filed with the Securities and Exchange Commission on September 18, 2026. Moreover, we operate in a very competitive and rapidly changing environment and new risks emerge from time to time. It is not possible for us to predict all risks, nor can we assess the impact of all factors on our business or the extent to which any factor, or combination of factors, may cause actual results to differ materially from those contained or implied in any forward-looking statements we may make. In light of these risks, uncertainties and assumptions, the forward-looking events and trends discussed in this proxy statement may not occur and actual results could differ materially and adversely from those anticipated or implied in the forward-looking statements. You should not rely upon forward-looking statements as predictions of future events.</w:t>
      </w:r>
    </w:p>
    <w:p>
      <w:pPr>
        <w:pStyle w:val="TextBody"/>
        <w:bidi w:val="0"/>
        <w:jc w:val="right"/>
        <w:rPr/>
      </w:pPr>
      <w:r>
        <w:rPr/>
        <w:t> </w:t>
      </w:r>
    </w:p>
    <w:p>
      <w:pPr>
        <w:pStyle w:val="TextBody"/>
        <w:bidi w:val="0"/>
        <w:jc w:val="right"/>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tbl>
      <w:tblPr>
        <w:tblW w:w="2972" w:type="dxa"/>
        <w:jc w:val="left"/>
        <w:tblInd w:w="0" w:type="dxa"/>
        <w:tblLayout w:type="fixed"/>
        <w:tblCellMar>
          <w:top w:w="28" w:type="dxa"/>
          <w:left w:w="28" w:type="dxa"/>
          <w:bottom w:w="28" w:type="dxa"/>
          <w:right w:w="28" w:type="dxa"/>
        </w:tblCellMar>
      </w:tblPr>
      <w:tblGrid>
        <w:gridCol w:w="301"/>
        <w:gridCol w:w="2671"/>
      </w:tblGrid>
      <w:tr>
        <w:trPr/>
        <w:tc>
          <w:tcPr>
            <w:tcW w:w="30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04</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4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9" descr=""/>
                          <pic:cNvPicPr>
                            <a:picLocks noChangeAspect="1" noChangeArrowheads="1"/>
                          </pic:cNvPicPr>
                        </pic:nvPicPr>
                        <pic:blipFill>
                          <a:blip r:embed="rId40"/>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ind w:left="0" w:right="0" w:hanging="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717"/>
        <w:gridCol w:w="488"/>
      </w:tblGrid>
      <w:tr>
        <w:trPr/>
        <w:tc>
          <w:tcPr>
            <w:tcW w:w="971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9717" w:type="dxa"/>
            <w:tcBorders/>
            <w:tcMar>
              <w:top w:w="0" w:type="dxa"/>
              <w:left w:w="0" w:type="dxa"/>
              <w:bottom w:w="0" w:type="dxa"/>
              <w:right w:w="0" w:type="dxa"/>
            </w:tcMar>
            <w:vAlign w:val="center"/>
          </w:tcPr>
          <w:p>
            <w:pPr>
              <w:pStyle w:val="TableContents"/>
              <w:bidi w:val="0"/>
              <w:spacing w:before="120" w:after="283"/>
              <w:jc w:val="left"/>
              <w:rPr/>
            </w:pPr>
            <w:bookmarkStart w:id="2" w:name="toc_page"/>
            <w:bookmarkEnd w:id="2"/>
            <w:r>
              <w:rPr/>
              <w:drawing>
                <wp:inline distT="0" distB="0" distL="0" distR="0">
                  <wp:extent cx="247650" cy="180975"/>
                  <wp:effectExtent l="0" t="0" r="0" b="0"/>
                  <wp:docPr id="4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1" descr=""/>
                          <pic:cNvPicPr>
                            <a:picLocks noChangeAspect="1" noChangeArrowheads="1"/>
                          </pic:cNvPicPr>
                        </pic:nvPicPr>
                        <pic:blipFill>
                          <a:blip r:embed="rId41"/>
                          <a:stretch>
                            <a:fillRect/>
                          </a:stretch>
                        </pic:blipFill>
                        <pic:spPr bwMode="auto">
                          <a:xfrm>
                            <a:off x="0" y="0"/>
                            <a:ext cx="247650" cy="180975"/>
                          </a:xfrm>
                          <a:prstGeom prst="rect">
                            <a:avLst/>
                          </a:prstGeom>
                        </pic:spPr>
                      </pic:pic>
                    </a:graphicData>
                  </a:graphic>
                </wp:inline>
              </w:drawing>
            </w:r>
            <w:r>
              <w:rPr>
                <w:color w:val="363636"/>
              </w:rPr>
              <w:t xml:space="preserve"> </w:t>
            </w:r>
            <w:r>
              <w:rPr>
                <w:rFonts w:ascii="Montserrat;sans-serif" w:hAnsi="Montserrat;sans-serif"/>
                <w:b/>
                <w:color w:val="FFFFFF"/>
                <w:sz w:val="29"/>
              </w:rPr>
              <w:t>Table of Contents</w:t>
            </w:r>
          </w:p>
        </w:tc>
        <w:tc>
          <w:tcPr>
            <w:tcW w:w="4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7" w:type="dxa"/>
            <w:tcBorders/>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17" w:type="dxa"/>
            <w:tcBorders/>
            <w:tcMar>
              <w:top w:w="0" w:type="dxa"/>
              <w:left w:w="0" w:type="dxa"/>
              <w:bottom w:w="0" w:type="dxa"/>
              <w:right w:w="0" w:type="dxa"/>
            </w:tcMar>
            <w:vAlign w:val="center"/>
          </w:tcPr>
          <w:p>
            <w:pPr>
              <w:pStyle w:val="TableContents"/>
              <w:bidi w:val="0"/>
              <w:spacing w:before="120" w:after="283"/>
              <w:jc w:val="left"/>
              <w:rPr/>
            </w:pPr>
            <w:hyperlink w:anchor="proxy_statement">
              <w:r>
                <w:rPr>
                  <w:rStyle w:val="InternetLink"/>
                  <w:rFonts w:ascii="Montserrat;Montserrat Medium;sans-serif" w:hAnsi="Montserrat;Montserrat Medium;sans-serif"/>
                  <w:b/>
                  <w:color w:val="FFFFFF"/>
                  <w:sz w:val="20"/>
                </w:rPr>
                <w:t>PROXY STATEMENT</w:t>
              </w:r>
            </w:hyperlink>
          </w:p>
        </w:tc>
        <w:tc>
          <w:tcPr>
            <w:tcW w:w="488" w:type="dxa"/>
            <w:tcBorders/>
            <w:tcMar>
              <w:top w:w="0" w:type="dxa"/>
              <w:left w:w="0" w:type="dxa"/>
              <w:bottom w:w="0" w:type="dxa"/>
              <w:right w:w="0" w:type="dxa"/>
            </w:tcMar>
            <w:vAlign w:val="center"/>
          </w:tcPr>
          <w:p>
            <w:pPr>
              <w:pStyle w:val="TableContents"/>
              <w:bidi w:val="0"/>
              <w:spacing w:before="120" w:after="283"/>
              <w:jc w:val="right"/>
              <w:rPr>
                <w:rFonts w:ascii="Montserrat;Montserrat Medium;sans-serif" w:hAnsi="Montserrat;Montserrat Medium;sans-serif"/>
                <w:b/>
                <w:color w:val="FFFFFF"/>
                <w:sz w:val="20"/>
              </w:rPr>
            </w:pPr>
            <w:r>
              <w:rPr>
                <w:rFonts w:ascii="Montserrat;Montserrat Medium;sans-serif" w:hAnsi="Montserrat;Montserrat Medium;sans-serif"/>
                <w:b/>
                <w:color w:val="FFFFFF"/>
                <w:sz w:val="20"/>
              </w:rPr>
              <w:t>6</w:t>
            </w:r>
          </w:p>
        </w:tc>
      </w:tr>
      <w:tr>
        <w:trPr/>
        <w:tc>
          <w:tcPr>
            <w:tcW w:w="9717" w:type="dxa"/>
            <w:tcBorders/>
            <w:tcMar>
              <w:top w:w="0" w:type="dxa"/>
              <w:left w:w="0" w:type="dxa"/>
              <w:bottom w:w="0" w:type="dxa"/>
              <w:right w:w="0" w:type="dxa"/>
            </w:tcMar>
            <w:vAlign w:val="center"/>
          </w:tcPr>
          <w:p>
            <w:pPr>
              <w:pStyle w:val="TableContents"/>
              <w:bidi w:val="0"/>
              <w:spacing w:before="120" w:after="283"/>
              <w:jc w:val="left"/>
              <w:rPr/>
            </w:pPr>
            <w:hyperlink w:anchor="proxy_voting_roadmap">
              <w:r>
                <w:rPr>
                  <w:rStyle w:val="InternetLink"/>
                  <w:rFonts w:ascii="Montserrat;Montserrat Medium;sans-serif" w:hAnsi="Montserrat;Montserrat Medium;sans-serif"/>
                  <w:b/>
                  <w:color w:val="FFFFFF"/>
                  <w:sz w:val="20"/>
                </w:rPr>
                <w:t>PROXY VOTING ROADMAP</w:t>
              </w:r>
            </w:hyperlink>
          </w:p>
        </w:tc>
        <w:tc>
          <w:tcPr>
            <w:tcW w:w="488" w:type="dxa"/>
            <w:tcBorders/>
            <w:tcMar>
              <w:top w:w="0" w:type="dxa"/>
              <w:left w:w="0" w:type="dxa"/>
              <w:bottom w:w="0" w:type="dxa"/>
              <w:right w:w="0" w:type="dxa"/>
            </w:tcMar>
            <w:vAlign w:val="center"/>
          </w:tcPr>
          <w:p>
            <w:pPr>
              <w:pStyle w:val="TableContents"/>
              <w:bidi w:val="0"/>
              <w:spacing w:before="120" w:after="283"/>
              <w:jc w:val="right"/>
              <w:rPr>
                <w:rFonts w:ascii="Montserrat;Montserrat Medium;sans-serif" w:hAnsi="Montserrat;Montserrat Medium;sans-serif"/>
                <w:b/>
                <w:color w:val="FFFFFF"/>
                <w:sz w:val="20"/>
              </w:rPr>
            </w:pPr>
            <w:r>
              <w:rPr>
                <w:rFonts w:ascii="Montserrat;Montserrat Medium;sans-serif" w:hAnsi="Montserrat;Montserrat Medium;sans-serif"/>
                <w:b/>
                <w:color w:val="FFFFFF"/>
                <w:sz w:val="20"/>
              </w:rPr>
              <w:t>7</w:t>
            </w:r>
          </w:p>
        </w:tc>
      </w:tr>
      <w:tr>
        <w:trPr/>
        <w:tc>
          <w:tcPr>
            <w:tcW w:w="9717" w:type="dxa"/>
            <w:tcBorders/>
            <w:tcMar>
              <w:top w:w="0" w:type="dxa"/>
              <w:left w:w="0" w:type="dxa"/>
              <w:bottom w:w="0" w:type="dxa"/>
              <w:right w:w="0" w:type="dxa"/>
            </w:tcMar>
            <w:vAlign w:val="center"/>
          </w:tcPr>
          <w:p>
            <w:pPr>
              <w:pStyle w:val="TableContents"/>
              <w:bidi w:val="0"/>
              <w:spacing w:before="120" w:after="283"/>
              <w:jc w:val="left"/>
              <w:rPr/>
            </w:pPr>
            <w:hyperlink w:anchor="corporate_governance">
              <w:r>
                <w:rPr>
                  <w:rStyle w:val="InternetLink"/>
                  <w:rFonts w:ascii="Montserrat;Montserrat Medium;sans-serif" w:hAnsi="Montserrat;Montserrat Medium;sans-serif"/>
                  <w:b/>
                  <w:color w:val="FFFFFF"/>
                  <w:sz w:val="20"/>
                </w:rPr>
                <w:t>CORPORATE GOVERNANCE</w:t>
              </w:r>
            </w:hyperlink>
          </w:p>
        </w:tc>
        <w:tc>
          <w:tcPr>
            <w:tcW w:w="488" w:type="dxa"/>
            <w:tcBorders/>
            <w:tcMar>
              <w:top w:w="0" w:type="dxa"/>
              <w:left w:w="0" w:type="dxa"/>
              <w:bottom w:w="0" w:type="dxa"/>
              <w:right w:w="0" w:type="dxa"/>
            </w:tcMar>
            <w:vAlign w:val="center"/>
          </w:tcPr>
          <w:p>
            <w:pPr>
              <w:pStyle w:val="TableContents"/>
              <w:bidi w:val="0"/>
              <w:spacing w:before="120" w:after="283"/>
              <w:jc w:val="right"/>
              <w:rPr>
                <w:rFonts w:ascii="Montserrat;Montserrat Medium;sans-serif" w:hAnsi="Montserrat;Montserrat Medium;sans-serif"/>
                <w:b/>
                <w:color w:val="FFFFFF"/>
                <w:sz w:val="20"/>
              </w:rPr>
            </w:pPr>
            <w:r>
              <w:rPr>
                <w:rFonts w:ascii="Montserrat;Montserrat Medium;sans-serif" w:hAnsi="Montserrat;Montserrat Medium;sans-serif"/>
                <w:b/>
                <w:color w:val="FFFFFF"/>
                <w:sz w:val="20"/>
              </w:rPr>
              <w:t>12</w:t>
            </w:r>
          </w:p>
        </w:tc>
      </w:tr>
      <w:tr>
        <w:trPr/>
        <w:tc>
          <w:tcPr>
            <w:tcW w:w="9717" w:type="dxa"/>
            <w:tcBorders/>
            <w:tcMar>
              <w:top w:w="0" w:type="dxa"/>
              <w:left w:w="0" w:type="dxa"/>
              <w:bottom w:w="0" w:type="dxa"/>
              <w:right w:w="0" w:type="dxa"/>
            </w:tcMar>
            <w:vAlign w:val="center"/>
          </w:tcPr>
          <w:p>
            <w:pPr>
              <w:pStyle w:val="TableContents"/>
              <w:bidi w:val="0"/>
              <w:spacing w:before="120" w:after="283"/>
              <w:jc w:val="left"/>
              <w:rPr/>
            </w:pPr>
            <w:hyperlink w:anchor="board_of_directors_and_its_committees">
              <w:r>
                <w:rPr>
                  <w:rStyle w:val="InternetLink"/>
                  <w:rFonts w:ascii="Montserrat;sans-serif" w:hAnsi="Montserrat;sans-serif"/>
                  <w:color w:val="FFFFFF"/>
                  <w:sz w:val="20"/>
                </w:rPr>
                <w:t>Board of Directors and Its Committees</w:t>
              </w:r>
            </w:hyperlink>
          </w:p>
        </w:tc>
        <w:tc>
          <w:tcPr>
            <w:tcW w:w="488" w:type="dxa"/>
            <w:tcBorders/>
            <w:tcMar>
              <w:top w:w="0" w:type="dxa"/>
              <w:left w:w="0" w:type="dxa"/>
              <w:bottom w:w="0" w:type="dxa"/>
              <w:right w:w="0" w:type="dxa"/>
            </w:tcMar>
            <w:vAlign w:val="center"/>
          </w:tcPr>
          <w:p>
            <w:pPr>
              <w:pStyle w:val="TableContents"/>
              <w:bidi w:val="0"/>
              <w:spacing w:before="120" w:after="283"/>
              <w:jc w:val="right"/>
              <w:rPr>
                <w:rFonts w:ascii="Montserrat;sans-serif" w:hAnsi="Montserrat;sans-serif"/>
                <w:color w:val="FFFFFF"/>
                <w:sz w:val="20"/>
              </w:rPr>
            </w:pPr>
            <w:r>
              <w:rPr>
                <w:rFonts w:ascii="Montserrat;sans-serif" w:hAnsi="Montserrat;sans-serif"/>
                <w:color w:val="FFFFFF"/>
                <w:sz w:val="20"/>
              </w:rPr>
              <w:t>12</w:t>
            </w:r>
          </w:p>
        </w:tc>
      </w:tr>
      <w:tr>
        <w:trPr/>
        <w:tc>
          <w:tcPr>
            <w:tcW w:w="9717" w:type="dxa"/>
            <w:tcBorders/>
            <w:tcMar>
              <w:top w:w="0" w:type="dxa"/>
              <w:left w:w="0" w:type="dxa"/>
              <w:bottom w:w="0" w:type="dxa"/>
              <w:right w:w="0" w:type="dxa"/>
            </w:tcMar>
            <w:vAlign w:val="center"/>
          </w:tcPr>
          <w:p>
            <w:pPr>
              <w:pStyle w:val="TableContents"/>
              <w:bidi w:val="0"/>
              <w:spacing w:before="120" w:after="283"/>
              <w:jc w:val="left"/>
              <w:rPr/>
            </w:pPr>
            <w:hyperlink w:anchor="impact_report">
              <w:r>
                <w:rPr>
                  <w:rStyle w:val="InternetLink"/>
                  <w:rFonts w:ascii="Montserrat;sans-serif" w:hAnsi="Montserrat;sans-serif"/>
                  <w:color w:val="FFFFFF"/>
                  <w:sz w:val="20"/>
                </w:rPr>
                <w:t>Impact Report</w:t>
              </w:r>
            </w:hyperlink>
          </w:p>
        </w:tc>
        <w:tc>
          <w:tcPr>
            <w:tcW w:w="488" w:type="dxa"/>
            <w:tcBorders/>
            <w:tcMar>
              <w:top w:w="0" w:type="dxa"/>
              <w:left w:w="0" w:type="dxa"/>
              <w:bottom w:w="0" w:type="dxa"/>
              <w:right w:w="0" w:type="dxa"/>
            </w:tcMar>
            <w:vAlign w:val="center"/>
          </w:tcPr>
          <w:p>
            <w:pPr>
              <w:pStyle w:val="TableContents"/>
              <w:bidi w:val="0"/>
              <w:spacing w:before="120" w:after="283"/>
              <w:jc w:val="right"/>
              <w:rPr>
                <w:rFonts w:ascii="Montserrat;sans-serif" w:hAnsi="Montserrat;sans-serif"/>
                <w:color w:val="FFFFFF"/>
                <w:sz w:val="20"/>
              </w:rPr>
            </w:pPr>
            <w:r>
              <w:rPr>
                <w:rFonts w:ascii="Montserrat;sans-serif" w:hAnsi="Montserrat;sans-serif"/>
                <w:color w:val="FFFFFF"/>
                <w:sz w:val="20"/>
              </w:rPr>
              <w:t>18</w:t>
            </w:r>
          </w:p>
        </w:tc>
      </w:tr>
      <w:tr>
        <w:trPr/>
        <w:tc>
          <w:tcPr>
            <w:tcW w:w="9717" w:type="dxa"/>
            <w:tcBorders/>
            <w:tcMar>
              <w:top w:w="0" w:type="dxa"/>
              <w:left w:w="0" w:type="dxa"/>
              <w:bottom w:w="0" w:type="dxa"/>
              <w:right w:w="0" w:type="dxa"/>
            </w:tcMar>
            <w:vAlign w:val="center"/>
          </w:tcPr>
          <w:p>
            <w:pPr>
              <w:pStyle w:val="TableContents"/>
              <w:bidi w:val="0"/>
              <w:spacing w:before="120" w:after="283"/>
              <w:jc w:val="left"/>
              <w:rPr/>
            </w:pPr>
            <w:hyperlink w:anchor="nominations_process_and_director_qualifi">
              <w:r>
                <w:rPr>
                  <w:rStyle w:val="InternetLink"/>
                  <w:rFonts w:ascii="Montserrat;sans-serif" w:hAnsi="Montserrat;sans-serif"/>
                  <w:color w:val="FFFFFF"/>
                  <w:sz w:val="20"/>
                </w:rPr>
                <w:t>Nominations Process and Director Qualifications</w:t>
              </w:r>
            </w:hyperlink>
          </w:p>
        </w:tc>
        <w:tc>
          <w:tcPr>
            <w:tcW w:w="488" w:type="dxa"/>
            <w:tcBorders/>
            <w:tcMar>
              <w:top w:w="0" w:type="dxa"/>
              <w:left w:w="0" w:type="dxa"/>
              <w:bottom w:w="0" w:type="dxa"/>
              <w:right w:w="0" w:type="dxa"/>
            </w:tcMar>
            <w:vAlign w:val="center"/>
          </w:tcPr>
          <w:p>
            <w:pPr>
              <w:pStyle w:val="TableContents"/>
              <w:bidi w:val="0"/>
              <w:spacing w:before="120" w:after="283"/>
              <w:jc w:val="right"/>
              <w:rPr>
                <w:rFonts w:ascii="Montserrat;sans-serif" w:hAnsi="Montserrat;sans-serif"/>
                <w:color w:val="FFFFFF"/>
                <w:sz w:val="20"/>
              </w:rPr>
            </w:pPr>
            <w:r>
              <w:rPr>
                <w:rFonts w:ascii="Montserrat;sans-serif" w:hAnsi="Montserrat;sans-serif"/>
                <w:color w:val="FFFFFF"/>
                <w:sz w:val="20"/>
              </w:rPr>
              <w:t>18</w:t>
            </w:r>
          </w:p>
        </w:tc>
      </w:tr>
      <w:tr>
        <w:trPr/>
        <w:tc>
          <w:tcPr>
            <w:tcW w:w="9717" w:type="dxa"/>
            <w:tcBorders/>
            <w:tcMar>
              <w:top w:w="0" w:type="dxa"/>
              <w:left w:w="0" w:type="dxa"/>
              <w:bottom w:w="0" w:type="dxa"/>
              <w:right w:w="0" w:type="dxa"/>
            </w:tcMar>
            <w:vAlign w:val="center"/>
          </w:tcPr>
          <w:p>
            <w:pPr>
              <w:pStyle w:val="TableContents"/>
              <w:bidi w:val="0"/>
              <w:spacing w:before="120" w:after="283"/>
              <w:jc w:val="left"/>
              <w:rPr/>
            </w:pPr>
            <w:hyperlink w:anchor="proposal_1_election_of_directors">
              <w:r>
                <w:rPr>
                  <w:rStyle w:val="InternetLink"/>
                  <w:rFonts w:ascii="Montserrat;sans-serif" w:hAnsi="Montserrat;sans-serif"/>
                  <w:color w:val="FFFFFF"/>
                  <w:sz w:val="20"/>
                </w:rPr>
                <w:t>Proposal 1: Election of Directors</w:t>
              </w:r>
            </w:hyperlink>
          </w:p>
        </w:tc>
        <w:tc>
          <w:tcPr>
            <w:tcW w:w="488" w:type="dxa"/>
            <w:tcBorders/>
            <w:tcMar>
              <w:top w:w="0" w:type="dxa"/>
              <w:left w:w="0" w:type="dxa"/>
              <w:bottom w:w="0" w:type="dxa"/>
              <w:right w:w="0" w:type="dxa"/>
            </w:tcMar>
            <w:vAlign w:val="center"/>
          </w:tcPr>
          <w:p>
            <w:pPr>
              <w:pStyle w:val="TableContents"/>
              <w:bidi w:val="0"/>
              <w:spacing w:before="120" w:after="283"/>
              <w:jc w:val="right"/>
              <w:rPr>
                <w:rFonts w:ascii="Montserrat;sans-serif" w:hAnsi="Montserrat;sans-serif"/>
                <w:color w:val="FFFFFF"/>
                <w:sz w:val="20"/>
              </w:rPr>
            </w:pPr>
            <w:r>
              <w:rPr>
                <w:rFonts w:ascii="Montserrat;sans-serif" w:hAnsi="Montserrat;sans-serif"/>
                <w:color w:val="FFFFFF"/>
                <w:sz w:val="20"/>
              </w:rPr>
              <w:t>20</w:t>
            </w:r>
          </w:p>
        </w:tc>
      </w:tr>
      <w:tr>
        <w:trPr/>
        <w:tc>
          <w:tcPr>
            <w:tcW w:w="9717" w:type="dxa"/>
            <w:tcBorders/>
            <w:tcMar>
              <w:top w:w="0" w:type="dxa"/>
              <w:left w:w="0" w:type="dxa"/>
              <w:bottom w:w="0" w:type="dxa"/>
              <w:right w:w="0" w:type="dxa"/>
            </w:tcMar>
            <w:vAlign w:val="center"/>
          </w:tcPr>
          <w:p>
            <w:pPr>
              <w:pStyle w:val="TableContents"/>
              <w:bidi w:val="0"/>
              <w:spacing w:before="120" w:after="283"/>
              <w:jc w:val="left"/>
              <w:rPr/>
            </w:pPr>
            <w:hyperlink w:anchor="director_compensation">
              <w:r>
                <w:rPr>
                  <w:rStyle w:val="InternetLink"/>
                  <w:rFonts w:ascii="Montserrat;sans-serif" w:hAnsi="Montserrat;sans-serif"/>
                  <w:color w:val="FFFFFF"/>
                  <w:sz w:val="20"/>
                </w:rPr>
                <w:t>Director Compensation</w:t>
              </w:r>
            </w:hyperlink>
          </w:p>
        </w:tc>
        <w:tc>
          <w:tcPr>
            <w:tcW w:w="488" w:type="dxa"/>
            <w:tcBorders/>
            <w:tcMar>
              <w:top w:w="0" w:type="dxa"/>
              <w:left w:w="0" w:type="dxa"/>
              <w:bottom w:w="0" w:type="dxa"/>
              <w:right w:w="0" w:type="dxa"/>
            </w:tcMar>
            <w:vAlign w:val="center"/>
          </w:tcPr>
          <w:p>
            <w:pPr>
              <w:pStyle w:val="TableContents"/>
              <w:bidi w:val="0"/>
              <w:spacing w:before="120" w:after="283"/>
              <w:jc w:val="right"/>
              <w:rPr>
                <w:rFonts w:ascii="Montserrat;sans-serif" w:hAnsi="Montserrat;sans-serif"/>
                <w:color w:val="FFFFFF"/>
                <w:sz w:val="20"/>
              </w:rPr>
            </w:pPr>
            <w:r>
              <w:rPr>
                <w:rFonts w:ascii="Montserrat;sans-serif" w:hAnsi="Montserrat;sans-serif"/>
                <w:color w:val="FFFFFF"/>
                <w:sz w:val="20"/>
              </w:rPr>
              <w:t>30</w:t>
            </w:r>
          </w:p>
        </w:tc>
      </w:tr>
      <w:tr>
        <w:trPr/>
        <w:tc>
          <w:tcPr>
            <w:tcW w:w="9717" w:type="dxa"/>
            <w:tcBorders/>
            <w:tcMar>
              <w:top w:w="0" w:type="dxa"/>
              <w:left w:w="0" w:type="dxa"/>
              <w:bottom w:w="0" w:type="dxa"/>
              <w:right w:w="0" w:type="dxa"/>
            </w:tcMar>
            <w:vAlign w:val="center"/>
          </w:tcPr>
          <w:p>
            <w:pPr>
              <w:pStyle w:val="TableContents"/>
              <w:bidi w:val="0"/>
              <w:spacing w:before="120" w:after="283"/>
              <w:jc w:val="left"/>
              <w:rPr/>
            </w:pPr>
            <w:hyperlink w:anchor="certain_relationships_and_related_party">
              <w:r>
                <w:rPr>
                  <w:rStyle w:val="InternetLink"/>
                  <w:rFonts w:ascii="Montserrat;sans-serif" w:hAnsi="Montserrat;sans-serif"/>
                  <w:color w:val="FFFFFF"/>
                  <w:sz w:val="20"/>
                </w:rPr>
                <w:t>Certain Relationships and Related Party Transactions</w:t>
              </w:r>
            </w:hyperlink>
          </w:p>
        </w:tc>
        <w:tc>
          <w:tcPr>
            <w:tcW w:w="488" w:type="dxa"/>
            <w:tcBorders/>
            <w:tcMar>
              <w:top w:w="0" w:type="dxa"/>
              <w:left w:w="0" w:type="dxa"/>
              <w:bottom w:w="0" w:type="dxa"/>
              <w:right w:w="0" w:type="dxa"/>
            </w:tcMar>
            <w:vAlign w:val="center"/>
          </w:tcPr>
          <w:p>
            <w:pPr>
              <w:pStyle w:val="TableContents"/>
              <w:bidi w:val="0"/>
              <w:spacing w:before="120" w:after="283"/>
              <w:jc w:val="right"/>
              <w:rPr>
                <w:rFonts w:ascii="Montserrat;sans-serif" w:hAnsi="Montserrat;sans-serif"/>
                <w:color w:val="FFFFFF"/>
                <w:sz w:val="20"/>
              </w:rPr>
            </w:pPr>
            <w:r>
              <w:rPr>
                <w:rFonts w:ascii="Montserrat;sans-serif" w:hAnsi="Montserrat;sans-serif"/>
                <w:color w:val="FFFFFF"/>
                <w:sz w:val="20"/>
              </w:rPr>
              <w:t>33</w:t>
            </w:r>
          </w:p>
        </w:tc>
      </w:tr>
      <w:tr>
        <w:trPr/>
        <w:tc>
          <w:tcPr>
            <w:tcW w:w="9717" w:type="dxa"/>
            <w:tcBorders/>
            <w:tcMar>
              <w:top w:w="0" w:type="dxa"/>
              <w:left w:w="0" w:type="dxa"/>
              <w:bottom w:w="0" w:type="dxa"/>
              <w:right w:w="0" w:type="dxa"/>
            </w:tcMar>
            <w:vAlign w:val="center"/>
          </w:tcPr>
          <w:p>
            <w:pPr>
              <w:pStyle w:val="TableContents"/>
              <w:bidi w:val="0"/>
              <w:spacing w:before="120" w:after="283"/>
              <w:jc w:val="left"/>
              <w:rPr/>
            </w:pPr>
            <w:hyperlink w:anchor="audit_committee_matters">
              <w:r>
                <w:rPr>
                  <w:rStyle w:val="InternetLink"/>
                  <w:rFonts w:ascii="Montserrat;Montserrat Medium;sans-serif" w:hAnsi="Montserrat;Montserrat Medium;sans-serif"/>
                  <w:b/>
                  <w:color w:val="FFFFFF"/>
                  <w:sz w:val="20"/>
                </w:rPr>
                <w:t>AUDIT COMMITTEE MATTERS</w:t>
              </w:r>
            </w:hyperlink>
          </w:p>
        </w:tc>
        <w:tc>
          <w:tcPr>
            <w:tcW w:w="488" w:type="dxa"/>
            <w:tcBorders/>
            <w:tcMar>
              <w:top w:w="0" w:type="dxa"/>
              <w:left w:w="0" w:type="dxa"/>
              <w:bottom w:w="0" w:type="dxa"/>
              <w:right w:w="0" w:type="dxa"/>
            </w:tcMar>
            <w:vAlign w:val="center"/>
          </w:tcPr>
          <w:p>
            <w:pPr>
              <w:pStyle w:val="TableContents"/>
              <w:bidi w:val="0"/>
              <w:spacing w:before="120" w:after="283"/>
              <w:jc w:val="right"/>
              <w:rPr>
                <w:rFonts w:ascii="Montserrat;Montserrat Medium;sans-serif" w:hAnsi="Montserrat;Montserrat Medium;sans-serif"/>
                <w:b/>
                <w:color w:val="FFFFFF"/>
                <w:sz w:val="20"/>
              </w:rPr>
            </w:pPr>
            <w:r>
              <w:rPr>
                <w:rFonts w:ascii="Montserrat;Montserrat Medium;sans-serif" w:hAnsi="Montserrat;Montserrat Medium;sans-serif"/>
                <w:b/>
                <w:color w:val="FFFFFF"/>
                <w:sz w:val="20"/>
              </w:rPr>
              <w:t>34</w:t>
            </w:r>
          </w:p>
        </w:tc>
      </w:tr>
      <w:tr>
        <w:trPr/>
        <w:tc>
          <w:tcPr>
            <w:tcW w:w="9717" w:type="dxa"/>
            <w:tcBorders/>
            <w:tcMar>
              <w:top w:w="0" w:type="dxa"/>
              <w:left w:w="0" w:type="dxa"/>
              <w:bottom w:w="0" w:type="dxa"/>
              <w:right w:w="0" w:type="dxa"/>
            </w:tcMar>
            <w:vAlign w:val="center"/>
          </w:tcPr>
          <w:p>
            <w:pPr>
              <w:pStyle w:val="TableContents"/>
              <w:bidi w:val="0"/>
              <w:spacing w:before="120" w:after="283"/>
              <w:jc w:val="left"/>
              <w:rPr/>
            </w:pPr>
            <w:hyperlink w:anchor="proposal_2_ratification_of_selection">
              <w:r>
                <w:rPr>
                  <w:rStyle w:val="InternetLink"/>
                  <w:rFonts w:ascii="Montserrat;sans-serif" w:hAnsi="Montserrat;sans-serif"/>
                  <w:color w:val="FFFFFF"/>
                  <w:sz w:val="20"/>
                </w:rPr>
                <w:t>Proposal 2: Ratification of Selection of Independent Registered Public Accounting Firm</w:t>
              </w:r>
            </w:hyperlink>
          </w:p>
        </w:tc>
        <w:tc>
          <w:tcPr>
            <w:tcW w:w="488" w:type="dxa"/>
            <w:tcBorders/>
            <w:tcMar>
              <w:top w:w="0" w:type="dxa"/>
              <w:left w:w="0" w:type="dxa"/>
              <w:bottom w:w="0" w:type="dxa"/>
              <w:right w:w="0" w:type="dxa"/>
            </w:tcMar>
            <w:vAlign w:val="center"/>
          </w:tcPr>
          <w:p>
            <w:pPr>
              <w:pStyle w:val="TableContents"/>
              <w:bidi w:val="0"/>
              <w:spacing w:before="120" w:after="283"/>
              <w:jc w:val="right"/>
              <w:rPr>
                <w:rFonts w:ascii="Montserrat;sans-serif" w:hAnsi="Montserrat;sans-serif"/>
                <w:color w:val="FFFFFF"/>
                <w:sz w:val="20"/>
              </w:rPr>
            </w:pPr>
            <w:r>
              <w:rPr>
                <w:rFonts w:ascii="Montserrat;sans-serif" w:hAnsi="Montserrat;sans-serif"/>
                <w:color w:val="FFFFFF"/>
                <w:sz w:val="20"/>
              </w:rPr>
              <w:t>34</w:t>
            </w:r>
          </w:p>
        </w:tc>
      </w:tr>
      <w:tr>
        <w:trPr/>
        <w:tc>
          <w:tcPr>
            <w:tcW w:w="9717" w:type="dxa"/>
            <w:tcBorders/>
            <w:tcMar>
              <w:top w:w="0" w:type="dxa"/>
              <w:left w:w="0" w:type="dxa"/>
              <w:bottom w:w="0" w:type="dxa"/>
              <w:right w:w="0" w:type="dxa"/>
            </w:tcMar>
            <w:vAlign w:val="center"/>
          </w:tcPr>
          <w:p>
            <w:pPr>
              <w:pStyle w:val="TableContents"/>
              <w:bidi w:val="0"/>
              <w:spacing w:before="120" w:after="283"/>
              <w:jc w:val="left"/>
              <w:rPr/>
            </w:pPr>
            <w:hyperlink w:anchor="report_of_the_audit_committee">
              <w:r>
                <w:rPr>
                  <w:rStyle w:val="InternetLink"/>
                  <w:rFonts w:ascii="Montserrat;sans-serif" w:hAnsi="Montserrat;sans-serif"/>
                  <w:color w:val="FFFFFF"/>
                  <w:sz w:val="20"/>
                </w:rPr>
                <w:t>Report of the Audit Committee</w:t>
              </w:r>
            </w:hyperlink>
          </w:p>
        </w:tc>
        <w:tc>
          <w:tcPr>
            <w:tcW w:w="488" w:type="dxa"/>
            <w:tcBorders/>
            <w:tcMar>
              <w:top w:w="0" w:type="dxa"/>
              <w:left w:w="0" w:type="dxa"/>
              <w:bottom w:w="0" w:type="dxa"/>
              <w:right w:w="0" w:type="dxa"/>
            </w:tcMar>
            <w:vAlign w:val="center"/>
          </w:tcPr>
          <w:p>
            <w:pPr>
              <w:pStyle w:val="TableContents"/>
              <w:bidi w:val="0"/>
              <w:spacing w:before="120" w:after="283"/>
              <w:jc w:val="right"/>
              <w:rPr>
                <w:rFonts w:ascii="Montserrat;sans-serif" w:hAnsi="Montserrat;sans-serif"/>
                <w:color w:val="FFFFFF"/>
                <w:sz w:val="20"/>
              </w:rPr>
            </w:pPr>
            <w:r>
              <w:rPr>
                <w:rFonts w:ascii="Montserrat;sans-serif" w:hAnsi="Montserrat;sans-serif"/>
                <w:color w:val="FFFFFF"/>
                <w:sz w:val="20"/>
              </w:rPr>
              <w:t>35</w:t>
            </w:r>
          </w:p>
        </w:tc>
      </w:tr>
      <w:tr>
        <w:trPr/>
        <w:tc>
          <w:tcPr>
            <w:tcW w:w="9717" w:type="dxa"/>
            <w:tcBorders/>
            <w:tcMar>
              <w:top w:w="0" w:type="dxa"/>
              <w:left w:w="0" w:type="dxa"/>
              <w:bottom w:w="0" w:type="dxa"/>
              <w:right w:w="0" w:type="dxa"/>
            </w:tcMar>
            <w:vAlign w:val="center"/>
          </w:tcPr>
          <w:p>
            <w:pPr>
              <w:pStyle w:val="TableContents"/>
              <w:bidi w:val="0"/>
              <w:spacing w:before="120" w:after="283"/>
              <w:jc w:val="left"/>
              <w:rPr/>
            </w:pPr>
            <w:hyperlink w:anchor="executive_officers">
              <w:r>
                <w:rPr>
                  <w:rStyle w:val="InternetLink"/>
                  <w:rFonts w:ascii="Montserrat;Montserrat Medium;sans-serif" w:hAnsi="Montserrat;Montserrat Medium;sans-serif"/>
                  <w:b/>
                  <w:color w:val="FFFFFF"/>
                  <w:sz w:val="20"/>
                </w:rPr>
                <w:t>EXECUTIVE OFFICERS</w:t>
              </w:r>
            </w:hyperlink>
          </w:p>
        </w:tc>
        <w:tc>
          <w:tcPr>
            <w:tcW w:w="488" w:type="dxa"/>
            <w:tcBorders/>
            <w:tcMar>
              <w:top w:w="0" w:type="dxa"/>
              <w:left w:w="0" w:type="dxa"/>
              <w:bottom w:w="0" w:type="dxa"/>
              <w:right w:w="0" w:type="dxa"/>
            </w:tcMar>
            <w:vAlign w:val="center"/>
          </w:tcPr>
          <w:p>
            <w:pPr>
              <w:pStyle w:val="TableContents"/>
              <w:bidi w:val="0"/>
              <w:spacing w:before="120" w:after="283"/>
              <w:jc w:val="right"/>
              <w:rPr>
                <w:rFonts w:ascii="Montserrat;Montserrat Medium;sans-serif" w:hAnsi="Montserrat;Montserrat Medium;sans-serif"/>
                <w:b/>
                <w:color w:val="FFFFFF"/>
                <w:sz w:val="20"/>
              </w:rPr>
            </w:pPr>
            <w:r>
              <w:rPr>
                <w:rFonts w:ascii="Montserrat;Montserrat Medium;sans-serif" w:hAnsi="Montserrat;Montserrat Medium;sans-serif"/>
                <w:b/>
                <w:color w:val="FFFFFF"/>
                <w:sz w:val="20"/>
              </w:rPr>
              <w:t>36</w:t>
            </w:r>
          </w:p>
        </w:tc>
      </w:tr>
      <w:tr>
        <w:trPr/>
        <w:tc>
          <w:tcPr>
            <w:tcW w:w="9717" w:type="dxa"/>
            <w:tcBorders/>
            <w:tcMar>
              <w:top w:w="0" w:type="dxa"/>
              <w:left w:w="0" w:type="dxa"/>
              <w:bottom w:w="0" w:type="dxa"/>
              <w:right w:w="0" w:type="dxa"/>
            </w:tcMar>
            <w:vAlign w:val="center"/>
          </w:tcPr>
          <w:p>
            <w:pPr>
              <w:pStyle w:val="TableContents"/>
              <w:bidi w:val="0"/>
              <w:spacing w:before="120" w:after="283"/>
              <w:jc w:val="left"/>
              <w:rPr/>
            </w:pPr>
            <w:hyperlink w:anchor="executive_compensation">
              <w:r>
                <w:rPr>
                  <w:rStyle w:val="InternetLink"/>
                  <w:rFonts w:ascii="Montserrat;Montserrat Medium;sans-serif" w:hAnsi="Montserrat;Montserrat Medium;sans-serif"/>
                  <w:b/>
                  <w:color w:val="FFFFFF"/>
                  <w:sz w:val="20"/>
                </w:rPr>
                <w:t>EXECUTIVE COMPENSATION</w:t>
              </w:r>
            </w:hyperlink>
          </w:p>
        </w:tc>
        <w:tc>
          <w:tcPr>
            <w:tcW w:w="488" w:type="dxa"/>
            <w:tcBorders/>
            <w:tcMar>
              <w:top w:w="0" w:type="dxa"/>
              <w:left w:w="0" w:type="dxa"/>
              <w:bottom w:w="0" w:type="dxa"/>
              <w:right w:w="0" w:type="dxa"/>
            </w:tcMar>
            <w:vAlign w:val="center"/>
          </w:tcPr>
          <w:p>
            <w:pPr>
              <w:pStyle w:val="TableContents"/>
              <w:bidi w:val="0"/>
              <w:spacing w:before="120" w:after="283"/>
              <w:jc w:val="right"/>
              <w:rPr>
                <w:rFonts w:ascii="Montserrat;Montserrat Medium;sans-serif" w:hAnsi="Montserrat;Montserrat Medium;sans-serif"/>
                <w:b/>
                <w:color w:val="FFFFFF"/>
                <w:sz w:val="20"/>
              </w:rPr>
            </w:pPr>
            <w:r>
              <w:rPr>
                <w:rFonts w:ascii="Montserrat;Montserrat Medium;sans-serif" w:hAnsi="Montserrat;Montserrat Medium;sans-serif"/>
                <w:b/>
                <w:color w:val="FFFFFF"/>
                <w:sz w:val="20"/>
              </w:rPr>
              <w:t>37</w:t>
            </w:r>
          </w:p>
        </w:tc>
      </w:tr>
      <w:tr>
        <w:trPr/>
        <w:tc>
          <w:tcPr>
            <w:tcW w:w="9717" w:type="dxa"/>
            <w:tcBorders/>
            <w:tcMar>
              <w:top w:w="0" w:type="dxa"/>
              <w:left w:w="0" w:type="dxa"/>
              <w:bottom w:w="0" w:type="dxa"/>
              <w:right w:w="0" w:type="dxa"/>
            </w:tcMar>
            <w:vAlign w:val="center"/>
          </w:tcPr>
          <w:p>
            <w:pPr>
              <w:pStyle w:val="TableContents"/>
              <w:bidi w:val="0"/>
              <w:spacing w:before="120" w:after="283"/>
              <w:jc w:val="left"/>
              <w:rPr/>
            </w:pPr>
            <w:hyperlink w:anchor="proposal_3_advisory_vote_to_approve">
              <w:r>
                <w:rPr>
                  <w:rStyle w:val="InternetLink"/>
                  <w:rFonts w:ascii="Montserrat;sans-serif" w:hAnsi="Montserrat;sans-serif"/>
                  <w:color w:val="FFFFFF"/>
                  <w:sz w:val="20"/>
                </w:rPr>
                <w:t>Proposal 3: Advisory Vote to Approve the Compensation of Our Named Executive Officers</w:t>
              </w:r>
            </w:hyperlink>
          </w:p>
        </w:tc>
        <w:tc>
          <w:tcPr>
            <w:tcW w:w="488" w:type="dxa"/>
            <w:tcBorders/>
            <w:tcMar>
              <w:top w:w="0" w:type="dxa"/>
              <w:left w:w="0" w:type="dxa"/>
              <w:bottom w:w="0" w:type="dxa"/>
              <w:right w:w="0" w:type="dxa"/>
            </w:tcMar>
            <w:vAlign w:val="center"/>
          </w:tcPr>
          <w:p>
            <w:pPr>
              <w:pStyle w:val="TableContents"/>
              <w:bidi w:val="0"/>
              <w:spacing w:before="120" w:after="283"/>
              <w:jc w:val="right"/>
              <w:rPr>
                <w:rFonts w:ascii="Montserrat;sans-serif" w:hAnsi="Montserrat;sans-serif"/>
                <w:color w:val="FFFFFF"/>
                <w:sz w:val="20"/>
              </w:rPr>
            </w:pPr>
            <w:r>
              <w:rPr>
                <w:rFonts w:ascii="Montserrat;sans-serif" w:hAnsi="Montserrat;sans-serif"/>
                <w:color w:val="FFFFFF"/>
                <w:sz w:val="20"/>
              </w:rPr>
              <w:t>38</w:t>
            </w:r>
          </w:p>
        </w:tc>
      </w:tr>
      <w:tr>
        <w:trPr/>
        <w:tc>
          <w:tcPr>
            <w:tcW w:w="9717" w:type="dxa"/>
            <w:tcBorders/>
            <w:tcMar>
              <w:top w:w="0" w:type="dxa"/>
              <w:left w:w="0" w:type="dxa"/>
              <w:bottom w:w="0" w:type="dxa"/>
              <w:right w:w="0" w:type="dxa"/>
            </w:tcMar>
            <w:vAlign w:val="center"/>
          </w:tcPr>
          <w:p>
            <w:pPr>
              <w:pStyle w:val="TableContents"/>
              <w:bidi w:val="0"/>
              <w:spacing w:before="120" w:after="283"/>
              <w:jc w:val="left"/>
              <w:rPr/>
            </w:pPr>
            <w:hyperlink w:anchor="compensation_discussion_and_analysis">
              <w:r>
                <w:rPr>
                  <w:rStyle w:val="InternetLink"/>
                  <w:rFonts w:ascii="Montserrat;sans-serif" w:hAnsi="Montserrat;sans-serif"/>
                  <w:color w:val="FFFFFF"/>
                  <w:sz w:val="20"/>
                </w:rPr>
                <w:t>Compensation Discussion and Analysis</w:t>
              </w:r>
            </w:hyperlink>
          </w:p>
        </w:tc>
        <w:tc>
          <w:tcPr>
            <w:tcW w:w="488" w:type="dxa"/>
            <w:tcBorders/>
            <w:tcMar>
              <w:top w:w="0" w:type="dxa"/>
              <w:left w:w="0" w:type="dxa"/>
              <w:bottom w:w="0" w:type="dxa"/>
              <w:right w:w="0" w:type="dxa"/>
            </w:tcMar>
            <w:vAlign w:val="center"/>
          </w:tcPr>
          <w:p>
            <w:pPr>
              <w:pStyle w:val="TableContents"/>
              <w:bidi w:val="0"/>
              <w:spacing w:before="120" w:after="283"/>
              <w:jc w:val="right"/>
              <w:rPr>
                <w:rFonts w:ascii="Montserrat;sans-serif" w:hAnsi="Montserrat;sans-serif"/>
                <w:color w:val="FFFFFF"/>
                <w:sz w:val="20"/>
              </w:rPr>
            </w:pPr>
            <w:r>
              <w:rPr>
                <w:rFonts w:ascii="Montserrat;sans-serif" w:hAnsi="Montserrat;sans-serif"/>
                <w:color w:val="FFFFFF"/>
                <w:sz w:val="20"/>
              </w:rPr>
              <w:t>39</w:t>
            </w:r>
          </w:p>
        </w:tc>
      </w:tr>
      <w:tr>
        <w:trPr/>
        <w:tc>
          <w:tcPr>
            <w:tcW w:w="9717" w:type="dxa"/>
            <w:tcBorders/>
            <w:tcMar>
              <w:top w:w="0" w:type="dxa"/>
              <w:left w:w="0" w:type="dxa"/>
              <w:bottom w:w="0" w:type="dxa"/>
              <w:right w:w="0" w:type="dxa"/>
            </w:tcMar>
            <w:vAlign w:val="center"/>
          </w:tcPr>
          <w:p>
            <w:pPr>
              <w:pStyle w:val="TableContents"/>
              <w:bidi w:val="0"/>
              <w:spacing w:before="120" w:after="283"/>
              <w:jc w:val="left"/>
              <w:rPr/>
            </w:pPr>
            <w:hyperlink w:anchor="report_of_the_compensation_committee">
              <w:r>
                <w:rPr>
                  <w:rStyle w:val="InternetLink"/>
                  <w:rFonts w:ascii="Montserrat;sans-serif" w:hAnsi="Montserrat;sans-serif"/>
                  <w:color w:val="FFFFFF"/>
                  <w:sz w:val="20"/>
                </w:rPr>
                <w:t>Report of the Compensation Committee</w:t>
              </w:r>
            </w:hyperlink>
          </w:p>
        </w:tc>
        <w:tc>
          <w:tcPr>
            <w:tcW w:w="488" w:type="dxa"/>
            <w:tcBorders/>
            <w:tcMar>
              <w:top w:w="0" w:type="dxa"/>
              <w:left w:w="0" w:type="dxa"/>
              <w:bottom w:w="0" w:type="dxa"/>
              <w:right w:w="0" w:type="dxa"/>
            </w:tcMar>
            <w:vAlign w:val="center"/>
          </w:tcPr>
          <w:p>
            <w:pPr>
              <w:pStyle w:val="TableContents"/>
              <w:bidi w:val="0"/>
              <w:spacing w:before="120" w:after="283"/>
              <w:jc w:val="right"/>
              <w:rPr>
                <w:rFonts w:ascii="Montserrat;sans-serif" w:hAnsi="Montserrat;sans-serif"/>
                <w:color w:val="FFFFFF"/>
                <w:sz w:val="20"/>
              </w:rPr>
            </w:pPr>
            <w:r>
              <w:rPr>
                <w:rFonts w:ascii="Montserrat;sans-serif" w:hAnsi="Montserrat;sans-serif"/>
                <w:color w:val="FFFFFF"/>
                <w:sz w:val="20"/>
              </w:rPr>
              <w:t>58</w:t>
            </w:r>
          </w:p>
        </w:tc>
      </w:tr>
      <w:tr>
        <w:trPr/>
        <w:tc>
          <w:tcPr>
            <w:tcW w:w="9717" w:type="dxa"/>
            <w:tcBorders/>
            <w:tcMar>
              <w:top w:w="0" w:type="dxa"/>
              <w:left w:w="0" w:type="dxa"/>
              <w:bottom w:w="0" w:type="dxa"/>
              <w:right w:w="0" w:type="dxa"/>
            </w:tcMar>
            <w:vAlign w:val="center"/>
          </w:tcPr>
          <w:p>
            <w:pPr>
              <w:pStyle w:val="TableContents"/>
              <w:bidi w:val="0"/>
              <w:spacing w:before="120" w:after="283"/>
              <w:jc w:val="left"/>
              <w:rPr/>
            </w:pPr>
            <w:hyperlink w:anchor="executive_compensation_tables">
              <w:r>
                <w:rPr>
                  <w:rStyle w:val="InternetLink"/>
                  <w:rFonts w:ascii="Montserrat;sans-serif" w:hAnsi="Montserrat;sans-serif"/>
                  <w:color w:val="FFFFFF"/>
                  <w:sz w:val="20"/>
                </w:rPr>
                <w:t>Executive Compensation Tables</w:t>
              </w:r>
            </w:hyperlink>
          </w:p>
        </w:tc>
        <w:tc>
          <w:tcPr>
            <w:tcW w:w="488" w:type="dxa"/>
            <w:tcBorders/>
            <w:tcMar>
              <w:top w:w="0" w:type="dxa"/>
              <w:left w:w="0" w:type="dxa"/>
              <w:bottom w:w="0" w:type="dxa"/>
              <w:right w:w="0" w:type="dxa"/>
            </w:tcMar>
            <w:vAlign w:val="center"/>
          </w:tcPr>
          <w:p>
            <w:pPr>
              <w:pStyle w:val="TableContents"/>
              <w:bidi w:val="0"/>
              <w:spacing w:before="120" w:after="283"/>
              <w:jc w:val="right"/>
              <w:rPr>
                <w:rFonts w:ascii="Montserrat;sans-serif" w:hAnsi="Montserrat;sans-serif"/>
                <w:color w:val="FFFFFF"/>
                <w:sz w:val="20"/>
              </w:rPr>
            </w:pPr>
            <w:r>
              <w:rPr>
                <w:rFonts w:ascii="Montserrat;sans-serif" w:hAnsi="Montserrat;sans-serif"/>
                <w:color w:val="FFFFFF"/>
                <w:sz w:val="20"/>
              </w:rPr>
              <w:t>58</w:t>
            </w:r>
          </w:p>
        </w:tc>
      </w:tr>
      <w:tr>
        <w:trPr/>
        <w:tc>
          <w:tcPr>
            <w:tcW w:w="9717" w:type="dxa"/>
            <w:tcBorders/>
            <w:tcMar>
              <w:top w:w="0" w:type="dxa"/>
              <w:left w:w="0" w:type="dxa"/>
              <w:bottom w:w="0" w:type="dxa"/>
              <w:right w:w="0" w:type="dxa"/>
            </w:tcMar>
            <w:vAlign w:val="center"/>
          </w:tcPr>
          <w:p>
            <w:pPr>
              <w:pStyle w:val="TableContents"/>
              <w:bidi w:val="0"/>
              <w:spacing w:before="120" w:after="283"/>
              <w:jc w:val="left"/>
              <w:rPr/>
            </w:pPr>
            <w:hyperlink w:anchor="employment_arrangements">
              <w:r>
                <w:rPr>
                  <w:rStyle w:val="InternetLink"/>
                  <w:rFonts w:ascii="Montserrat;sans-serif" w:hAnsi="Montserrat;sans-serif"/>
                  <w:color w:val="FFFFFF"/>
                  <w:sz w:val="20"/>
                </w:rPr>
                <w:t>Employment Arrangements</w:t>
              </w:r>
            </w:hyperlink>
          </w:p>
        </w:tc>
        <w:tc>
          <w:tcPr>
            <w:tcW w:w="488" w:type="dxa"/>
            <w:tcBorders/>
            <w:tcMar>
              <w:top w:w="0" w:type="dxa"/>
              <w:left w:w="0" w:type="dxa"/>
              <w:bottom w:w="0" w:type="dxa"/>
              <w:right w:w="0" w:type="dxa"/>
            </w:tcMar>
            <w:vAlign w:val="center"/>
          </w:tcPr>
          <w:p>
            <w:pPr>
              <w:pStyle w:val="TableContents"/>
              <w:bidi w:val="0"/>
              <w:spacing w:before="120" w:after="283"/>
              <w:jc w:val="right"/>
              <w:rPr>
                <w:rFonts w:ascii="Montserrat;sans-serif" w:hAnsi="Montserrat;sans-serif"/>
                <w:color w:val="FFFFFF"/>
                <w:sz w:val="20"/>
              </w:rPr>
            </w:pPr>
            <w:r>
              <w:rPr>
                <w:rFonts w:ascii="Montserrat;sans-serif" w:hAnsi="Montserrat;sans-serif"/>
                <w:color w:val="FFFFFF"/>
                <w:sz w:val="20"/>
              </w:rPr>
              <w:t>63</w:t>
            </w:r>
          </w:p>
        </w:tc>
      </w:tr>
      <w:tr>
        <w:trPr/>
        <w:tc>
          <w:tcPr>
            <w:tcW w:w="9717" w:type="dxa"/>
            <w:tcBorders/>
            <w:tcMar>
              <w:top w:w="0" w:type="dxa"/>
              <w:left w:w="0" w:type="dxa"/>
              <w:bottom w:w="0" w:type="dxa"/>
              <w:right w:w="0" w:type="dxa"/>
            </w:tcMar>
            <w:vAlign w:val="center"/>
          </w:tcPr>
          <w:p>
            <w:pPr>
              <w:pStyle w:val="TableContents"/>
              <w:bidi w:val="0"/>
              <w:spacing w:before="120" w:after="283"/>
              <w:jc w:val="left"/>
              <w:rPr/>
            </w:pPr>
            <w:hyperlink w:anchor="ceo_pay_ratio">
              <w:r>
                <w:rPr>
                  <w:rStyle w:val="InternetLink"/>
                  <w:rFonts w:ascii="Montserrat;sans-serif" w:hAnsi="Montserrat;sans-serif"/>
                  <w:color w:val="FFFFFF"/>
                  <w:sz w:val="20"/>
                </w:rPr>
                <w:t>CEO Pay Ratio</w:t>
              </w:r>
            </w:hyperlink>
          </w:p>
        </w:tc>
        <w:tc>
          <w:tcPr>
            <w:tcW w:w="488" w:type="dxa"/>
            <w:tcBorders/>
            <w:tcMar>
              <w:top w:w="0" w:type="dxa"/>
              <w:left w:w="0" w:type="dxa"/>
              <w:bottom w:w="0" w:type="dxa"/>
              <w:right w:w="0" w:type="dxa"/>
            </w:tcMar>
            <w:vAlign w:val="center"/>
          </w:tcPr>
          <w:p>
            <w:pPr>
              <w:pStyle w:val="TableContents"/>
              <w:bidi w:val="0"/>
              <w:spacing w:before="120" w:after="283"/>
              <w:jc w:val="right"/>
              <w:rPr>
                <w:rFonts w:ascii="Montserrat;sans-serif" w:hAnsi="Montserrat;sans-serif"/>
                <w:color w:val="FFFFFF"/>
                <w:sz w:val="20"/>
              </w:rPr>
            </w:pPr>
            <w:r>
              <w:rPr>
                <w:rFonts w:ascii="Montserrat;sans-serif" w:hAnsi="Montserrat;sans-serif"/>
                <w:color w:val="FFFFFF"/>
                <w:sz w:val="20"/>
              </w:rPr>
              <w:t>67</w:t>
            </w:r>
          </w:p>
        </w:tc>
      </w:tr>
      <w:tr>
        <w:trPr/>
        <w:tc>
          <w:tcPr>
            <w:tcW w:w="9717" w:type="dxa"/>
            <w:tcBorders/>
            <w:tcMar>
              <w:top w:w="0" w:type="dxa"/>
              <w:left w:w="0" w:type="dxa"/>
              <w:bottom w:w="0" w:type="dxa"/>
              <w:right w:w="0" w:type="dxa"/>
            </w:tcMar>
            <w:vAlign w:val="center"/>
          </w:tcPr>
          <w:p>
            <w:pPr>
              <w:pStyle w:val="TableContents"/>
              <w:bidi w:val="0"/>
              <w:spacing w:before="120" w:after="283"/>
              <w:jc w:val="left"/>
              <w:rPr/>
            </w:pPr>
            <w:hyperlink w:anchor="pay_versus_performance">
              <w:r>
                <w:rPr>
                  <w:rStyle w:val="InternetLink"/>
                  <w:rFonts w:ascii="Montserrat;sans-serif" w:hAnsi="Montserrat;sans-serif"/>
                  <w:color w:val="FFFFFF"/>
                  <w:sz w:val="20"/>
                </w:rPr>
                <w:t>Pay Versus Performance</w:t>
              </w:r>
            </w:hyperlink>
          </w:p>
        </w:tc>
        <w:tc>
          <w:tcPr>
            <w:tcW w:w="488" w:type="dxa"/>
            <w:tcBorders/>
            <w:tcMar>
              <w:top w:w="0" w:type="dxa"/>
              <w:left w:w="0" w:type="dxa"/>
              <w:bottom w:w="0" w:type="dxa"/>
              <w:right w:w="0" w:type="dxa"/>
            </w:tcMar>
            <w:vAlign w:val="center"/>
          </w:tcPr>
          <w:p>
            <w:pPr>
              <w:pStyle w:val="TableContents"/>
              <w:bidi w:val="0"/>
              <w:spacing w:before="120" w:after="283"/>
              <w:jc w:val="right"/>
              <w:rPr>
                <w:rFonts w:ascii="Montserrat;sans-serif" w:hAnsi="Montserrat;sans-serif"/>
                <w:color w:val="FFFFFF"/>
                <w:sz w:val="20"/>
              </w:rPr>
            </w:pPr>
            <w:r>
              <w:rPr>
                <w:rFonts w:ascii="Montserrat;sans-serif" w:hAnsi="Montserrat;sans-serif"/>
                <w:color w:val="FFFFFF"/>
                <w:sz w:val="20"/>
              </w:rPr>
              <w:t>68</w:t>
            </w:r>
          </w:p>
        </w:tc>
      </w:tr>
      <w:tr>
        <w:trPr/>
        <w:tc>
          <w:tcPr>
            <w:tcW w:w="9717" w:type="dxa"/>
            <w:tcBorders/>
            <w:tcMar>
              <w:top w:w="0" w:type="dxa"/>
              <w:left w:w="0" w:type="dxa"/>
              <w:bottom w:w="0" w:type="dxa"/>
              <w:right w:w="0" w:type="dxa"/>
            </w:tcMar>
            <w:vAlign w:val="center"/>
          </w:tcPr>
          <w:p>
            <w:pPr>
              <w:pStyle w:val="TableContents"/>
              <w:bidi w:val="0"/>
              <w:spacing w:before="120" w:after="283"/>
              <w:jc w:val="left"/>
              <w:rPr/>
            </w:pPr>
            <w:hyperlink w:anchor="equity_compensation_plan_information">
              <w:r>
                <w:rPr>
                  <w:rStyle w:val="InternetLink"/>
                  <w:rFonts w:ascii="Montserrat;sans-serif" w:hAnsi="Montserrat;sans-serif"/>
                  <w:color w:val="FFFFFF"/>
                  <w:sz w:val="20"/>
                </w:rPr>
                <w:t>Equity Compensation Plan Information</w:t>
              </w:r>
            </w:hyperlink>
          </w:p>
        </w:tc>
        <w:tc>
          <w:tcPr>
            <w:tcW w:w="488" w:type="dxa"/>
            <w:tcBorders/>
            <w:tcMar>
              <w:top w:w="0" w:type="dxa"/>
              <w:left w:w="0" w:type="dxa"/>
              <w:bottom w:w="0" w:type="dxa"/>
              <w:right w:w="0" w:type="dxa"/>
            </w:tcMar>
            <w:vAlign w:val="center"/>
          </w:tcPr>
          <w:p>
            <w:pPr>
              <w:pStyle w:val="TableContents"/>
              <w:bidi w:val="0"/>
              <w:spacing w:before="120" w:after="283"/>
              <w:jc w:val="right"/>
              <w:rPr>
                <w:rFonts w:ascii="Montserrat;sans-serif" w:hAnsi="Montserrat;sans-serif"/>
                <w:color w:val="FFFFFF"/>
                <w:sz w:val="20"/>
              </w:rPr>
            </w:pPr>
            <w:r>
              <w:rPr>
                <w:rFonts w:ascii="Montserrat;sans-serif" w:hAnsi="Montserrat;sans-serif"/>
                <w:color w:val="FFFFFF"/>
                <w:sz w:val="20"/>
              </w:rPr>
              <w:t>73</w:t>
            </w:r>
          </w:p>
        </w:tc>
      </w:tr>
      <w:tr>
        <w:trPr/>
        <w:tc>
          <w:tcPr>
            <w:tcW w:w="9717" w:type="dxa"/>
            <w:tcBorders/>
            <w:tcMar>
              <w:top w:w="0" w:type="dxa"/>
              <w:left w:w="0" w:type="dxa"/>
              <w:bottom w:w="0" w:type="dxa"/>
              <w:right w:w="0" w:type="dxa"/>
            </w:tcMar>
            <w:vAlign w:val="center"/>
          </w:tcPr>
          <w:p>
            <w:pPr>
              <w:pStyle w:val="TableContents"/>
              <w:bidi w:val="0"/>
              <w:spacing w:before="120" w:after="283"/>
              <w:jc w:val="left"/>
              <w:rPr/>
            </w:pPr>
            <w:hyperlink w:anchor="additional_proposals">
              <w:r>
                <w:rPr>
                  <w:rStyle w:val="InternetLink"/>
                  <w:rFonts w:ascii="Montserrat;Montserrat Medium;sans-serif" w:hAnsi="Montserrat;Montserrat Medium;sans-serif"/>
                  <w:b/>
                  <w:color w:val="FFFFFF"/>
                  <w:sz w:val="20"/>
                </w:rPr>
                <w:t>ADDITIONAL PROPOSALS</w:t>
              </w:r>
            </w:hyperlink>
          </w:p>
        </w:tc>
        <w:tc>
          <w:tcPr>
            <w:tcW w:w="488" w:type="dxa"/>
            <w:tcBorders/>
            <w:tcMar>
              <w:top w:w="0" w:type="dxa"/>
              <w:left w:w="0" w:type="dxa"/>
              <w:bottom w:w="0" w:type="dxa"/>
              <w:right w:w="0" w:type="dxa"/>
            </w:tcMar>
            <w:vAlign w:val="center"/>
          </w:tcPr>
          <w:p>
            <w:pPr>
              <w:pStyle w:val="TableContents"/>
              <w:bidi w:val="0"/>
              <w:spacing w:before="120" w:after="283"/>
              <w:jc w:val="right"/>
              <w:rPr>
                <w:rFonts w:ascii="Montserrat;Montserrat Medium;sans-serif" w:hAnsi="Montserrat;Montserrat Medium;sans-serif"/>
                <w:b/>
                <w:color w:val="FFFFFF"/>
                <w:sz w:val="20"/>
              </w:rPr>
            </w:pPr>
            <w:r>
              <w:rPr>
                <w:rFonts w:ascii="Montserrat;Montserrat Medium;sans-serif" w:hAnsi="Montserrat;Montserrat Medium;sans-serif"/>
                <w:b/>
                <w:color w:val="FFFFFF"/>
                <w:sz w:val="20"/>
              </w:rPr>
              <w:t>74</w:t>
            </w:r>
          </w:p>
        </w:tc>
      </w:tr>
      <w:tr>
        <w:trPr/>
        <w:tc>
          <w:tcPr>
            <w:tcW w:w="9717" w:type="dxa"/>
            <w:tcBorders/>
            <w:tcMar>
              <w:top w:w="0" w:type="dxa"/>
              <w:left w:w="0" w:type="dxa"/>
              <w:bottom w:w="0" w:type="dxa"/>
              <w:right w:w="0" w:type="dxa"/>
            </w:tcMar>
            <w:vAlign w:val="center"/>
          </w:tcPr>
          <w:p>
            <w:pPr>
              <w:pStyle w:val="TableContents"/>
              <w:bidi w:val="0"/>
              <w:spacing w:before="120" w:after="283"/>
              <w:jc w:val="left"/>
              <w:rPr/>
            </w:pPr>
            <w:hyperlink w:anchor="additional_proposals">
              <w:r>
                <w:rPr>
                  <w:rStyle w:val="InternetLink"/>
                  <w:rFonts w:ascii="Montserrat;sans-serif" w:hAnsi="Montserrat;sans-serif"/>
                  <w:color w:val="FFFFFF"/>
                  <w:sz w:val="20"/>
                </w:rPr>
                <w:t>Proposal 4: Approval of an Amendment to the Amended and Restated 2016 Equity Incentive Plan to Increase the Share Reserve</w:t>
              </w:r>
            </w:hyperlink>
          </w:p>
        </w:tc>
        <w:tc>
          <w:tcPr>
            <w:tcW w:w="488" w:type="dxa"/>
            <w:tcBorders/>
            <w:tcMar>
              <w:top w:w="0" w:type="dxa"/>
              <w:left w:w="0" w:type="dxa"/>
              <w:bottom w:w="0" w:type="dxa"/>
              <w:right w:w="0" w:type="dxa"/>
            </w:tcMar>
            <w:vAlign w:val="center"/>
          </w:tcPr>
          <w:p>
            <w:pPr>
              <w:pStyle w:val="TableContents"/>
              <w:bidi w:val="0"/>
              <w:spacing w:before="120" w:after="283"/>
              <w:jc w:val="right"/>
              <w:rPr>
                <w:rFonts w:ascii="Montserrat;Montserrat Medium;sans-serif" w:hAnsi="Montserrat;Montserrat Medium;sans-serif"/>
                <w:b/>
                <w:color w:val="FFFFFF"/>
                <w:sz w:val="20"/>
              </w:rPr>
            </w:pPr>
            <w:r>
              <w:rPr>
                <w:rFonts w:ascii="Montserrat;Montserrat Medium;sans-serif" w:hAnsi="Montserrat;Montserrat Medium;sans-serif"/>
                <w:b/>
                <w:color w:val="FFFFFF"/>
                <w:sz w:val="20"/>
              </w:rPr>
              <w:t>74</w:t>
            </w:r>
          </w:p>
        </w:tc>
      </w:tr>
      <w:tr>
        <w:trPr/>
        <w:tc>
          <w:tcPr>
            <w:tcW w:w="9717" w:type="dxa"/>
            <w:tcBorders/>
            <w:tcMar>
              <w:top w:w="0" w:type="dxa"/>
              <w:left w:w="0" w:type="dxa"/>
              <w:bottom w:w="0" w:type="dxa"/>
              <w:right w:w="0" w:type="dxa"/>
            </w:tcMar>
            <w:vAlign w:val="center"/>
          </w:tcPr>
          <w:p>
            <w:pPr>
              <w:pStyle w:val="TableContents"/>
              <w:bidi w:val="0"/>
              <w:spacing w:before="120" w:after="283"/>
              <w:jc w:val="left"/>
              <w:rPr/>
            </w:pPr>
            <w:hyperlink w:anchor="stock_ownership_information">
              <w:r>
                <w:rPr>
                  <w:rStyle w:val="InternetLink"/>
                  <w:rFonts w:ascii="Montserrat;Montserrat Medium;sans-serif" w:hAnsi="Montserrat;Montserrat Medium;sans-serif"/>
                  <w:b/>
                  <w:color w:val="FFFFFF"/>
                  <w:sz w:val="20"/>
                </w:rPr>
                <w:t>STOCK OWNERSHIP INFORMATION</w:t>
              </w:r>
            </w:hyperlink>
          </w:p>
        </w:tc>
        <w:tc>
          <w:tcPr>
            <w:tcW w:w="488" w:type="dxa"/>
            <w:tcBorders/>
            <w:tcMar>
              <w:top w:w="0" w:type="dxa"/>
              <w:left w:w="0" w:type="dxa"/>
              <w:bottom w:w="0" w:type="dxa"/>
              <w:right w:w="0" w:type="dxa"/>
            </w:tcMar>
            <w:vAlign w:val="center"/>
          </w:tcPr>
          <w:p>
            <w:pPr>
              <w:pStyle w:val="TableContents"/>
              <w:bidi w:val="0"/>
              <w:spacing w:before="120" w:after="283"/>
              <w:jc w:val="right"/>
              <w:rPr>
                <w:rFonts w:ascii="Montserrat;Montserrat Medium;sans-serif" w:hAnsi="Montserrat;Montserrat Medium;sans-serif"/>
                <w:b/>
                <w:color w:val="FFFFFF"/>
                <w:sz w:val="20"/>
              </w:rPr>
            </w:pPr>
            <w:r>
              <w:rPr>
                <w:rFonts w:ascii="Montserrat;Montserrat Medium;sans-serif" w:hAnsi="Montserrat;Montserrat Medium;sans-serif"/>
                <w:b/>
                <w:color w:val="FFFFFF"/>
                <w:sz w:val="20"/>
              </w:rPr>
              <w:t>85</w:t>
            </w:r>
          </w:p>
        </w:tc>
      </w:tr>
      <w:tr>
        <w:trPr/>
        <w:tc>
          <w:tcPr>
            <w:tcW w:w="9717" w:type="dxa"/>
            <w:tcBorders/>
            <w:tcMar>
              <w:top w:w="0" w:type="dxa"/>
              <w:left w:w="0" w:type="dxa"/>
              <w:bottom w:w="0" w:type="dxa"/>
              <w:right w:w="0" w:type="dxa"/>
            </w:tcMar>
            <w:vAlign w:val="center"/>
          </w:tcPr>
          <w:p>
            <w:pPr>
              <w:pStyle w:val="TableContents"/>
              <w:bidi w:val="0"/>
              <w:spacing w:before="120" w:after="283"/>
              <w:jc w:val="left"/>
              <w:rPr/>
            </w:pPr>
            <w:hyperlink w:anchor="security_ownership_of_certain_beneficial">
              <w:r>
                <w:rPr>
                  <w:rStyle w:val="InternetLink"/>
                  <w:rFonts w:ascii="Montserrat;sans-serif" w:hAnsi="Montserrat;sans-serif"/>
                  <w:color w:val="FFFFFF"/>
                  <w:sz w:val="20"/>
                </w:rPr>
                <w:t>Security Ownership of Certain Beneficial Owners and Management</w:t>
              </w:r>
            </w:hyperlink>
          </w:p>
        </w:tc>
        <w:tc>
          <w:tcPr>
            <w:tcW w:w="488" w:type="dxa"/>
            <w:tcBorders/>
            <w:tcMar>
              <w:top w:w="0" w:type="dxa"/>
              <w:left w:w="0" w:type="dxa"/>
              <w:bottom w:w="0" w:type="dxa"/>
              <w:right w:w="0" w:type="dxa"/>
            </w:tcMar>
            <w:vAlign w:val="center"/>
          </w:tcPr>
          <w:p>
            <w:pPr>
              <w:pStyle w:val="TableContents"/>
              <w:bidi w:val="0"/>
              <w:spacing w:before="120" w:after="283"/>
              <w:jc w:val="right"/>
              <w:rPr>
                <w:rFonts w:ascii="Montserrat;sans-serif" w:hAnsi="Montserrat;sans-serif"/>
                <w:color w:val="FFFFFF"/>
                <w:sz w:val="20"/>
              </w:rPr>
            </w:pPr>
            <w:r>
              <w:rPr>
                <w:rFonts w:ascii="Montserrat;sans-serif" w:hAnsi="Montserrat;sans-serif"/>
                <w:color w:val="FFFFFF"/>
                <w:sz w:val="20"/>
              </w:rPr>
              <w:t>85</w:t>
            </w:r>
          </w:p>
        </w:tc>
      </w:tr>
      <w:tr>
        <w:trPr/>
        <w:tc>
          <w:tcPr>
            <w:tcW w:w="9717" w:type="dxa"/>
            <w:tcBorders/>
            <w:tcMar>
              <w:top w:w="0" w:type="dxa"/>
              <w:left w:w="0" w:type="dxa"/>
              <w:bottom w:w="0" w:type="dxa"/>
              <w:right w:w="0" w:type="dxa"/>
            </w:tcMar>
            <w:vAlign w:val="center"/>
          </w:tcPr>
          <w:p>
            <w:pPr>
              <w:pStyle w:val="TableContents"/>
              <w:bidi w:val="0"/>
              <w:spacing w:before="120" w:after="283"/>
              <w:jc w:val="left"/>
              <w:rPr/>
            </w:pPr>
            <w:hyperlink w:anchor="delinquent_section_16a_reports">
              <w:r>
                <w:rPr>
                  <w:rStyle w:val="InternetLink"/>
                  <w:rFonts w:ascii="Montserrat;sans-serif" w:hAnsi="Montserrat;sans-serif"/>
                  <w:color w:val="FFFFFF"/>
                  <w:sz w:val="20"/>
                </w:rPr>
                <w:t>Delinquent Section 16(a) Reports</w:t>
              </w:r>
            </w:hyperlink>
          </w:p>
        </w:tc>
        <w:tc>
          <w:tcPr>
            <w:tcW w:w="488" w:type="dxa"/>
            <w:tcBorders/>
            <w:tcMar>
              <w:top w:w="0" w:type="dxa"/>
              <w:left w:w="0" w:type="dxa"/>
              <w:bottom w:w="0" w:type="dxa"/>
              <w:right w:w="0" w:type="dxa"/>
            </w:tcMar>
            <w:vAlign w:val="center"/>
          </w:tcPr>
          <w:p>
            <w:pPr>
              <w:pStyle w:val="TableContents"/>
              <w:bidi w:val="0"/>
              <w:spacing w:before="120" w:after="283"/>
              <w:jc w:val="right"/>
              <w:rPr>
                <w:rFonts w:ascii="Montserrat;sans-serif" w:hAnsi="Montserrat;sans-serif"/>
                <w:color w:val="FFFFFF"/>
                <w:sz w:val="20"/>
              </w:rPr>
            </w:pPr>
            <w:r>
              <w:rPr>
                <w:rFonts w:ascii="Montserrat;sans-serif" w:hAnsi="Montserrat;sans-serif"/>
                <w:color w:val="FFFFFF"/>
                <w:sz w:val="20"/>
              </w:rPr>
              <w:t>86</w:t>
            </w:r>
          </w:p>
        </w:tc>
      </w:tr>
      <w:tr>
        <w:trPr/>
        <w:tc>
          <w:tcPr>
            <w:tcW w:w="9717" w:type="dxa"/>
            <w:tcBorders/>
            <w:tcMar>
              <w:top w:w="0" w:type="dxa"/>
              <w:left w:w="0" w:type="dxa"/>
              <w:bottom w:w="0" w:type="dxa"/>
              <w:right w:w="0" w:type="dxa"/>
            </w:tcMar>
            <w:vAlign w:val="center"/>
          </w:tcPr>
          <w:p>
            <w:pPr>
              <w:pStyle w:val="TableContents"/>
              <w:bidi w:val="0"/>
              <w:spacing w:before="120" w:after="283"/>
              <w:jc w:val="left"/>
              <w:rPr/>
            </w:pPr>
            <w:hyperlink w:anchor="other_matters">
              <w:r>
                <w:rPr>
                  <w:rStyle w:val="InternetLink"/>
                  <w:rFonts w:ascii="Montserrat;Montserrat Medium;sans-serif" w:hAnsi="Montserrat;Montserrat Medium;sans-serif"/>
                  <w:b/>
                  <w:color w:val="FFFFFF"/>
                  <w:sz w:val="20"/>
                </w:rPr>
                <w:t>OTHER MATTERS</w:t>
              </w:r>
            </w:hyperlink>
          </w:p>
        </w:tc>
        <w:tc>
          <w:tcPr>
            <w:tcW w:w="488" w:type="dxa"/>
            <w:tcBorders/>
            <w:tcMar>
              <w:top w:w="0" w:type="dxa"/>
              <w:left w:w="0" w:type="dxa"/>
              <w:bottom w:w="0" w:type="dxa"/>
              <w:right w:w="0" w:type="dxa"/>
            </w:tcMar>
            <w:vAlign w:val="center"/>
          </w:tcPr>
          <w:p>
            <w:pPr>
              <w:pStyle w:val="TableContents"/>
              <w:bidi w:val="0"/>
              <w:spacing w:before="120" w:after="283"/>
              <w:jc w:val="right"/>
              <w:rPr>
                <w:rFonts w:ascii="Montserrat;Montserrat Medium;sans-serif" w:hAnsi="Montserrat;Montserrat Medium;sans-serif"/>
                <w:b/>
                <w:color w:val="FFFFFF"/>
                <w:sz w:val="20"/>
              </w:rPr>
            </w:pPr>
            <w:r>
              <w:rPr>
                <w:rFonts w:ascii="Montserrat;Montserrat Medium;sans-serif" w:hAnsi="Montserrat;Montserrat Medium;sans-serif"/>
                <w:b/>
                <w:color w:val="FFFFFF"/>
                <w:sz w:val="20"/>
              </w:rPr>
              <w:t>87</w:t>
            </w:r>
          </w:p>
        </w:tc>
      </w:tr>
      <w:tr>
        <w:trPr/>
        <w:tc>
          <w:tcPr>
            <w:tcW w:w="9717" w:type="dxa"/>
            <w:tcBorders/>
            <w:tcMar>
              <w:top w:w="0" w:type="dxa"/>
              <w:left w:w="0" w:type="dxa"/>
              <w:bottom w:w="0" w:type="dxa"/>
              <w:right w:w="0" w:type="dxa"/>
            </w:tcMar>
            <w:vAlign w:val="center"/>
          </w:tcPr>
          <w:p>
            <w:pPr>
              <w:pStyle w:val="TableContents"/>
              <w:bidi w:val="0"/>
              <w:spacing w:before="120" w:after="283"/>
              <w:jc w:val="left"/>
              <w:rPr/>
            </w:pPr>
            <w:hyperlink w:anchor="questions_and_answers_about_the_annual">
              <w:r>
                <w:rPr>
                  <w:rStyle w:val="InternetLink"/>
                  <w:rFonts w:ascii="Montserrat;Montserrat Medium;sans-serif" w:hAnsi="Montserrat;Montserrat Medium;sans-serif"/>
                  <w:b/>
                  <w:color w:val="FFFFFF"/>
                  <w:sz w:val="20"/>
                </w:rPr>
                <w:t>QUESTIONS AND ANSWERS ABOUT THE ANNUAL MEETING</w:t>
              </w:r>
            </w:hyperlink>
          </w:p>
        </w:tc>
        <w:tc>
          <w:tcPr>
            <w:tcW w:w="488" w:type="dxa"/>
            <w:tcBorders/>
            <w:tcMar>
              <w:top w:w="0" w:type="dxa"/>
              <w:left w:w="0" w:type="dxa"/>
              <w:bottom w:w="0" w:type="dxa"/>
              <w:right w:w="0" w:type="dxa"/>
            </w:tcMar>
            <w:vAlign w:val="center"/>
          </w:tcPr>
          <w:p>
            <w:pPr>
              <w:pStyle w:val="TableContents"/>
              <w:bidi w:val="0"/>
              <w:spacing w:before="120" w:after="283"/>
              <w:jc w:val="right"/>
              <w:rPr>
                <w:rFonts w:ascii="Montserrat;Montserrat Medium;sans-serif" w:hAnsi="Montserrat;Montserrat Medium;sans-serif"/>
                <w:b/>
                <w:color w:val="FFFFFF"/>
                <w:sz w:val="20"/>
              </w:rPr>
            </w:pPr>
            <w:r>
              <w:rPr>
                <w:rFonts w:ascii="Montserrat;Montserrat Medium;sans-serif" w:hAnsi="Montserrat;Montserrat Medium;sans-serif"/>
                <w:b/>
                <w:color w:val="FFFFFF"/>
                <w:sz w:val="20"/>
              </w:rPr>
              <w:t>88</w:t>
            </w:r>
          </w:p>
        </w:tc>
      </w:tr>
      <w:tr>
        <w:trPr/>
        <w:tc>
          <w:tcPr>
            <w:tcW w:w="9717" w:type="dxa"/>
            <w:tcBorders/>
            <w:tcMar>
              <w:top w:w="0" w:type="dxa"/>
              <w:left w:w="0" w:type="dxa"/>
              <w:bottom w:w="0" w:type="dxa"/>
              <w:right w:w="0" w:type="dxa"/>
            </w:tcMar>
            <w:vAlign w:val="center"/>
          </w:tcPr>
          <w:p>
            <w:pPr>
              <w:pStyle w:val="TableContents"/>
              <w:bidi w:val="0"/>
              <w:spacing w:before="120" w:after="283"/>
              <w:jc w:val="left"/>
              <w:rPr/>
            </w:pPr>
            <w:hyperlink w:anchor="appendix_a_key_performance_measures_and">
              <w:r>
                <w:rPr>
                  <w:rStyle w:val="InternetLink"/>
                  <w:rFonts w:ascii="Montserrat;Montserrat Medium;sans-serif" w:hAnsi="Montserrat;Montserrat Medium;sans-serif"/>
                  <w:b/>
                  <w:color w:val="FFFFFF"/>
                  <w:sz w:val="20"/>
                </w:rPr>
                <w:t>APPENDIX A – Key Performance and Non-GAAP Financial Measures</w:t>
              </w:r>
            </w:hyperlink>
          </w:p>
        </w:tc>
        <w:tc>
          <w:tcPr>
            <w:tcW w:w="488" w:type="dxa"/>
            <w:tcBorders/>
            <w:tcMar>
              <w:top w:w="0" w:type="dxa"/>
              <w:left w:w="0" w:type="dxa"/>
              <w:bottom w:w="0" w:type="dxa"/>
              <w:right w:w="0" w:type="dxa"/>
            </w:tcMar>
            <w:vAlign w:val="center"/>
          </w:tcPr>
          <w:p>
            <w:pPr>
              <w:pStyle w:val="TableContents"/>
              <w:bidi w:val="0"/>
              <w:spacing w:before="120" w:after="283"/>
              <w:jc w:val="right"/>
              <w:rPr/>
            </w:pPr>
            <w:hyperlink w:anchor="appendix_a_key_performance_measures_and">
              <w:r>
                <w:rPr>
                  <w:rStyle w:val="InternetLink"/>
                  <w:rFonts w:ascii="Montserrat;Montserrat Medium;sans-serif" w:hAnsi="Montserrat;Montserrat Medium;sans-serif"/>
                  <w:b/>
                  <w:color w:val="FFFFFF"/>
                  <w:sz w:val="20"/>
                </w:rPr>
                <w:t>A-1</w:t>
              </w:r>
            </w:hyperlink>
          </w:p>
        </w:tc>
      </w:tr>
      <w:tr>
        <w:trPr/>
        <w:tc>
          <w:tcPr>
            <w:tcW w:w="9717" w:type="dxa"/>
            <w:tcBorders/>
            <w:tcMar>
              <w:top w:w="0" w:type="dxa"/>
              <w:left w:w="0" w:type="dxa"/>
              <w:bottom w:w="0" w:type="dxa"/>
              <w:right w:w="0" w:type="dxa"/>
            </w:tcMar>
            <w:vAlign w:val="center"/>
          </w:tcPr>
          <w:p>
            <w:pPr>
              <w:pStyle w:val="TableContents"/>
              <w:bidi w:val="0"/>
              <w:spacing w:before="120" w:after="283"/>
              <w:jc w:val="left"/>
              <w:rPr/>
            </w:pPr>
            <w:hyperlink w:anchor="appendixb_proposed_amended_restated_eip">
              <w:r>
                <w:rPr>
                  <w:rStyle w:val="InternetLink"/>
                  <w:rFonts w:ascii="Montserrat;Montserrat Medium;sans-serif" w:hAnsi="Montserrat;Montserrat Medium;sans-serif"/>
                  <w:b/>
                  <w:color w:val="FFFFFF"/>
                  <w:sz w:val="20"/>
                </w:rPr>
                <w:t>APPENDIX B – Amended and Restated 2016 Equity Incentive Plan</w:t>
              </w:r>
            </w:hyperlink>
          </w:p>
        </w:tc>
        <w:tc>
          <w:tcPr>
            <w:tcW w:w="488" w:type="dxa"/>
            <w:tcBorders/>
            <w:tcMar>
              <w:top w:w="0" w:type="dxa"/>
              <w:left w:w="0" w:type="dxa"/>
              <w:bottom w:w="0" w:type="dxa"/>
              <w:right w:w="0" w:type="dxa"/>
            </w:tcMar>
            <w:vAlign w:val="center"/>
          </w:tcPr>
          <w:p>
            <w:pPr>
              <w:pStyle w:val="TableContents"/>
              <w:bidi w:val="0"/>
              <w:spacing w:before="120" w:after="283"/>
              <w:jc w:val="right"/>
              <w:rPr/>
            </w:pPr>
            <w:hyperlink w:anchor="appendixb_proposed_amended_restated_eip">
              <w:r>
                <w:rPr>
                  <w:rStyle w:val="InternetLink"/>
                  <w:rFonts w:ascii="Montserrat;Montserrat Medium;sans-serif" w:hAnsi="Montserrat;Montserrat Medium;sans-serif"/>
                  <w:b/>
                  <w:color w:val="FFFFFF"/>
                  <w:sz w:val="20"/>
                </w:rPr>
                <w:t>B-1</w:t>
              </w:r>
            </w:hyperlink>
          </w:p>
        </w:tc>
      </w:tr>
    </w:tbl>
    <w:p>
      <w:pPr>
        <w:pStyle w:val="TextBody"/>
        <w:bidi w:val="0"/>
        <w:spacing w:before="120" w:after="283"/>
        <w:jc w:val="left"/>
        <w:rPr/>
      </w:pPr>
      <w:r>
        <w:rPr/>
        <w:t> </w:t>
      </w:r>
    </w:p>
    <w:p>
      <w:pPr>
        <w:pStyle w:val="TextBody"/>
        <w:bidi w:val="0"/>
        <w:spacing w:before="120" w:after="283"/>
        <w:jc w:val="both"/>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ind w:left="0" w:right="0" w:hanging="0"/>
        <w:jc w:val="left"/>
        <w:rPr/>
      </w:pPr>
      <w:r>
        <w:rPr/>
        <w:t> </w:t>
      </w:r>
    </w:p>
    <w:p>
      <w:pPr>
        <w:pStyle w:val="TextBody"/>
        <w:bidi w:val="0"/>
        <w:spacing w:before="60" w:after="283"/>
        <w:jc w:val="left"/>
        <w:rPr/>
      </w:pPr>
      <w:r>
        <w:rPr/>
        <w:t> </w:t>
      </w:r>
    </w:p>
    <w:p>
      <w:pPr>
        <w:pStyle w:val="TextBody"/>
        <w:bidi w:val="0"/>
        <w:jc w:val="left"/>
        <w:rPr/>
      </w:pPr>
      <w:r>
        <w:rPr/>
        <w:t> </w:t>
      </w:r>
    </w:p>
    <w:p>
      <w:pPr>
        <w:pStyle w:val="TextBody"/>
        <w:bidi w:val="0"/>
        <w:jc w:val="left"/>
        <w:rPr/>
      </w:pPr>
      <w:r>
        <w:rPr/>
        <w:t> </w:t>
      </w:r>
    </w:p>
    <w:p>
      <w:pPr>
        <w:pStyle w:val="Heading1"/>
        <w:bidi w:val="0"/>
        <w:jc w:val="both"/>
        <w:rPr>
          <w:rFonts w:ascii="Montserrat;sans-serif" w:hAnsi="Montserrat;sans-serif"/>
          <w:color w:val="000000"/>
          <w:sz w:val="56"/>
        </w:rPr>
      </w:pPr>
      <w:bookmarkStart w:id="3" w:name="proxy_statement"/>
      <w:bookmarkEnd w:id="3"/>
      <w:r>
        <w:rPr>
          <w:rFonts w:ascii="Montserrat;sans-serif" w:hAnsi="Montserrat;sans-serif"/>
          <w:color w:val="000000"/>
          <w:sz w:val="56"/>
        </w:rPr>
        <w:t>Proxy Statement</w:t>
      </w:r>
    </w:p>
    <w:p>
      <w:pPr>
        <w:pStyle w:val="TextBody"/>
        <w:bidi w:val="0"/>
        <w:spacing w:before="480" w:after="283"/>
        <w:jc w:val="both"/>
        <w:rPr>
          <w:rFonts w:ascii="Montserrat;sans-serif" w:hAnsi="Montserrat;sans-serif"/>
          <w:color w:val="000000"/>
          <w:sz w:val="18"/>
        </w:rPr>
      </w:pPr>
      <w:r>
        <w:rPr>
          <w:rFonts w:ascii="Montserrat;sans-serif" w:hAnsi="Montserrat;sans-serif"/>
          <w:color w:val="000000"/>
          <w:sz w:val="18"/>
        </w:rPr>
        <w:t>For the 2026 Annual Meeting of Stockholders</w:t>
      </w:r>
    </w:p>
    <w:p>
      <w:pPr>
        <w:pStyle w:val="TextBody"/>
        <w:bidi w:val="0"/>
        <w:jc w:val="both"/>
        <w:rPr>
          <w:rFonts w:ascii="Montserrat;sans-serif" w:hAnsi="Montserrat;sans-serif"/>
          <w:color w:val="000000"/>
          <w:sz w:val="18"/>
        </w:rPr>
      </w:pPr>
      <w:r>
        <w:rPr>
          <w:rFonts w:ascii="Montserrat;sans-serif" w:hAnsi="Montserrat;sans-serif"/>
          <w:color w:val="000000"/>
          <w:sz w:val="18"/>
        </w:rPr>
        <w:t>To Be Held on Friday, December 11, 2026 at 9:00 a.m., Pacific Time</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Our Board of Directors is soliciting your proxy to vote at the Annual Meeting of Nutanix, Inc. to be held via live webcast at www.virtualshareholdermeeting.com/NTNX2026 on Friday, December 11, 2026 at 9:00 a.m., Pacific Time.</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For the Annual Meeting, we have elected to furnish our proxy materials, including this proxy statement and our Annual Report on Form 10-K for the fiscal year ended July 31, 2026 filed with the Securities and Exchange Commission (the “SEC”) on September 18, 2026, to our stockholders primarily via the Internet. On or about October 20, 2026, we mailed to our stockholders the Notice of the Annual Meeting and instructions on how to access our proxy materials on the Internet, how to vote at the Annual Meeting, and how to request printed copies of the proxy materials. Stockholders may request to receive all future materials in printed form by mail or electronically by e-mail by following the instructions contained in the Notice. We encourage stockholders to take advantage of the availability of the proxy materials on the Internet to help reduce the environmental impact and cost of our annual meetings.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Only stockholders of record of our Class A common stock at the close of business on October 13, 2026, the record date for the Annual Meeting, will be entitled to vote at the Annual Meeting. On the record date, there were 272,732,283 shares of Class A common stock outstanding and entitled to vote. A list of stockholders entitled to vote at the Annual Meeting will be available for examination during normal business hours for a period of ten days ending on the day before the Annual Meeting at our principal place of business at 1740 Technology Drive, Suite 150, San Jose, California 95110.</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You also may obtain, without charge, copies of this proxy statement and our Annual Report on Form 10-K by writing to our Secretary at Nutanix, Inc., 1740 Technology Drive, Suite 150, San Jose, California 95110 or by following the directions set forth in the Notice.</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In this proxy statement, we refer to Nutanix, Inc. as “Nutanix,” “we,” “us” or “our company” and the Board of Directors of Nutanix, Inc. as “our Board.” The content of any websites referred to in this proxy statement is not deemed to be part of, and is not incorporated by reference into, this proxy statement.</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301"/>
        <w:gridCol w:w="2671"/>
      </w:tblGrid>
      <w:tr>
        <w:trPr/>
        <w:tc>
          <w:tcPr>
            <w:tcW w:w="30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06</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49"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3" descr=""/>
                          <pic:cNvPicPr>
                            <a:picLocks noChangeAspect="1" noChangeArrowheads="1"/>
                          </pic:cNvPicPr>
                        </pic:nvPicPr>
                        <pic:blipFill>
                          <a:blip r:embed="rId42"/>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ind w:left="0" w:right="0" w:hanging="0"/>
        <w:jc w:val="left"/>
        <w:rPr/>
      </w:pPr>
      <w:r>
        <w:rPr/>
        <w:t> </w:t>
      </w:r>
    </w:p>
    <w:p>
      <w:pPr>
        <w:pStyle w:val="TextBody"/>
        <w:bidi w:val="0"/>
        <w:spacing w:before="60" w:after="283"/>
        <w:jc w:val="left"/>
        <w:rPr/>
      </w:pPr>
      <w:r>
        <w:rPr/>
        <w:t> </w:t>
      </w:r>
    </w:p>
    <w:p>
      <w:pPr>
        <w:pStyle w:val="TextBody"/>
        <w:bidi w:val="0"/>
        <w:jc w:val="left"/>
        <w:rPr/>
      </w:pPr>
      <w:r>
        <w:rPr/>
        <w:t> </w:t>
      </w:r>
    </w:p>
    <w:p>
      <w:pPr>
        <w:pStyle w:val="TextBody"/>
        <w:bidi w:val="0"/>
        <w:jc w:val="left"/>
        <w:rPr/>
      </w:pPr>
      <w:r>
        <w:rPr/>
        <w:t> </w:t>
      </w:r>
    </w:p>
    <w:p>
      <w:pPr>
        <w:pStyle w:val="Heading1"/>
        <w:bidi w:val="0"/>
        <w:jc w:val="both"/>
        <w:rPr>
          <w:rFonts w:ascii="Montserrat;sans-serif" w:hAnsi="Montserrat;sans-serif"/>
          <w:color w:val="000000"/>
          <w:sz w:val="56"/>
        </w:rPr>
      </w:pPr>
      <w:bookmarkStart w:id="4" w:name="proxy_voting_roadmap"/>
      <w:bookmarkEnd w:id="4"/>
      <w:r>
        <w:rPr>
          <w:rFonts w:ascii="Montserrat;sans-serif" w:hAnsi="Montserrat;sans-serif"/>
          <w:color w:val="000000"/>
          <w:sz w:val="56"/>
        </w:rPr>
        <w:t>Proxy Voting Roadmap</w:t>
      </w:r>
    </w:p>
    <w:p>
      <w:pPr>
        <w:pStyle w:val="TextBody"/>
        <w:bidi w:val="0"/>
        <w:spacing w:before="480" w:after="283"/>
        <w:jc w:val="both"/>
        <w:rPr>
          <w:rFonts w:ascii="Montserrat;sans-serif" w:hAnsi="Montserrat;sans-serif"/>
          <w:color w:val="000000"/>
          <w:sz w:val="18"/>
        </w:rPr>
      </w:pPr>
      <w:r>
        <w:rPr>
          <w:rFonts w:ascii="Montserrat;sans-serif" w:hAnsi="Montserrat;sans-serif"/>
          <w:color w:val="000000"/>
          <w:sz w:val="18"/>
        </w:rPr>
        <w:t>This roadmap highlights certain information contained elsewhere in this proxy statement. This roadmap does not contain all of the information that you should consider, and we encourage you to read the entire proxy statement before voting.</w:t>
      </w:r>
    </w:p>
    <w:p>
      <w:pPr>
        <w:pStyle w:val="Heading2"/>
        <w:bidi w:val="0"/>
        <w:spacing w:before="360" w:after="283"/>
        <w:jc w:val="left"/>
        <w:rPr>
          <w:rFonts w:ascii="Montserrat;sans-serif" w:hAnsi="Montserrat;sans-serif"/>
          <w:color w:val="7855FA"/>
          <w:sz w:val="28"/>
        </w:rPr>
      </w:pPr>
      <w:r>
        <w:rPr>
          <w:rFonts w:ascii="Montserrat;sans-serif" w:hAnsi="Montserrat;sans-serif"/>
          <w:color w:val="7855FA"/>
          <w:sz w:val="28"/>
        </w:rPr>
        <w:t>Annual Meeting Information</w:t>
      </w:r>
    </w:p>
    <w:p>
      <w:pPr>
        <w:pStyle w:val="TextBody"/>
        <w:bidi w:val="0"/>
        <w:jc w:val="both"/>
        <w:rPr/>
      </w:pPr>
      <w:r>
        <w:rPr/>
        <w:t> </w:t>
      </w:r>
    </w:p>
    <w:tbl>
      <w:tblPr>
        <w:tblW w:w="9175" w:type="dxa"/>
        <w:jc w:val="left"/>
        <w:tblInd w:w="0" w:type="dxa"/>
        <w:tblLayout w:type="fixed"/>
        <w:tblCellMar>
          <w:top w:w="28" w:type="dxa"/>
          <w:left w:w="28" w:type="dxa"/>
          <w:bottom w:w="28" w:type="dxa"/>
          <w:right w:w="28" w:type="dxa"/>
        </w:tblCellMar>
      </w:tblPr>
      <w:tblGrid>
        <w:gridCol w:w="2626"/>
        <w:gridCol w:w="146"/>
        <w:gridCol w:w="4486"/>
        <w:gridCol w:w="146"/>
        <w:gridCol w:w="177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262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66700" cy="342900"/>
                  <wp:effectExtent l="0" t="0" r="0" b="0"/>
                  <wp:docPr id="5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5" descr=""/>
                          <pic:cNvPicPr>
                            <a:picLocks noChangeAspect="1" noChangeArrowheads="1"/>
                          </pic:cNvPicPr>
                        </pic:nvPicPr>
                        <pic:blipFill>
                          <a:blip r:embed="rId43"/>
                          <a:stretch>
                            <a:fillRect/>
                          </a:stretch>
                        </pic:blipFill>
                        <pic:spPr bwMode="auto">
                          <a:xfrm>
                            <a:off x="0" y="0"/>
                            <a:ext cx="266700" cy="34290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8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66700" cy="381000"/>
                  <wp:effectExtent l="0" t="0" r="0" b="0"/>
                  <wp:docPr id="51"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6" descr=""/>
                          <pic:cNvPicPr>
                            <a:picLocks noChangeAspect="1" noChangeArrowheads="1"/>
                          </pic:cNvPicPr>
                        </pic:nvPicPr>
                        <pic:blipFill>
                          <a:blip r:embed="rId44"/>
                          <a:stretch>
                            <a:fillRect/>
                          </a:stretch>
                        </pic:blipFill>
                        <pic:spPr bwMode="auto">
                          <a:xfrm>
                            <a:off x="0" y="0"/>
                            <a:ext cx="266700" cy="38100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7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342900" cy="323850"/>
                  <wp:effectExtent l="0" t="0" r="0" b="0"/>
                  <wp:docPr id="52"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7" descr=""/>
                          <pic:cNvPicPr>
                            <a:picLocks noChangeAspect="1" noChangeArrowheads="1"/>
                          </pic:cNvPicPr>
                        </pic:nvPicPr>
                        <pic:blipFill>
                          <a:blip r:embed="rId45"/>
                          <a:stretch>
                            <a:fillRect/>
                          </a:stretch>
                        </pic:blipFill>
                        <pic:spPr bwMode="auto">
                          <a:xfrm>
                            <a:off x="0" y="0"/>
                            <a:ext cx="342900" cy="323850"/>
                          </a:xfrm>
                          <a:prstGeom prst="rect">
                            <a:avLst/>
                          </a:prstGeom>
                        </pic:spPr>
                      </pic:pic>
                    </a:graphicData>
                  </a:graphic>
                </wp:inline>
              </w:drawing>
            </w:r>
          </w:p>
        </w:tc>
      </w:tr>
      <w:tr>
        <w:trPr/>
        <w:tc>
          <w:tcPr>
            <w:tcW w:w="2626" w:type="dxa"/>
            <w:tcBorders/>
            <w:tcMar>
              <w:top w:w="0" w:type="dxa"/>
              <w:left w:w="0" w:type="dxa"/>
              <w:bottom w:w="0" w:type="dxa"/>
              <w:right w:w="0" w:type="dxa"/>
            </w:tcMar>
            <w:vAlign w:val="center"/>
          </w:tcPr>
          <w:p>
            <w:pPr>
              <w:pStyle w:val="TableContents"/>
              <w:bidi w:val="0"/>
              <w:spacing w:before="120" w:after="283"/>
              <w:jc w:val="center"/>
              <w:rPr>
                <w:rFonts w:ascii="Montserrat;sans-serif" w:hAnsi="Montserrat;sans-serif"/>
                <w:b/>
                <w:color w:val="7855FA"/>
                <w:sz w:val="18"/>
              </w:rPr>
            </w:pPr>
            <w:r>
              <w:rPr>
                <w:rFonts w:ascii="Montserrat;sans-serif" w:hAnsi="Montserrat;sans-serif"/>
                <w:b/>
                <w:color w:val="7855FA"/>
                <w:sz w:val="18"/>
              </w:rPr>
              <w:t>Time and Date</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4486" w:type="dxa"/>
            <w:tcBorders/>
            <w:tcMar>
              <w:top w:w="0" w:type="dxa"/>
              <w:left w:w="0" w:type="dxa"/>
              <w:bottom w:w="0" w:type="dxa"/>
              <w:right w:w="0" w:type="dxa"/>
            </w:tcMar>
            <w:vAlign w:val="center"/>
          </w:tcPr>
          <w:p>
            <w:pPr>
              <w:pStyle w:val="TableContents"/>
              <w:bidi w:val="0"/>
              <w:spacing w:before="120" w:after="283"/>
              <w:jc w:val="center"/>
              <w:rPr>
                <w:rFonts w:ascii="Montserrat;sans-serif" w:hAnsi="Montserrat;sans-serif"/>
                <w:b/>
                <w:color w:val="7855FA"/>
                <w:sz w:val="18"/>
              </w:rPr>
            </w:pPr>
            <w:r>
              <w:rPr>
                <w:rFonts w:ascii="Montserrat;sans-serif" w:hAnsi="Montserrat;sans-serif"/>
                <w:b/>
                <w:color w:val="7855FA"/>
                <w:sz w:val="18"/>
              </w:rPr>
              <w:t>Virtual Meeting Site</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1771" w:type="dxa"/>
            <w:tcBorders/>
            <w:tcMar>
              <w:top w:w="0" w:type="dxa"/>
              <w:left w:w="0" w:type="dxa"/>
              <w:bottom w:w="0" w:type="dxa"/>
              <w:right w:w="0" w:type="dxa"/>
            </w:tcMar>
            <w:vAlign w:val="center"/>
          </w:tcPr>
          <w:p>
            <w:pPr>
              <w:pStyle w:val="TableContents"/>
              <w:bidi w:val="0"/>
              <w:spacing w:before="120" w:after="283"/>
              <w:jc w:val="center"/>
              <w:rPr>
                <w:rFonts w:ascii="Montserrat;sans-serif" w:hAnsi="Montserrat;sans-serif"/>
                <w:b/>
                <w:color w:val="7855FA"/>
                <w:sz w:val="18"/>
              </w:rPr>
            </w:pPr>
            <w:r>
              <w:rPr>
                <w:rFonts w:ascii="Montserrat;sans-serif" w:hAnsi="Montserrat;sans-serif"/>
                <w:b/>
                <w:color w:val="7855FA"/>
                <w:sz w:val="18"/>
              </w:rPr>
              <w:t>Record Date</w:t>
            </w:r>
          </w:p>
        </w:tc>
      </w:tr>
      <w:tr>
        <w:trPr/>
        <w:tc>
          <w:tcPr>
            <w:tcW w:w="2626" w:type="dxa"/>
            <w:tcBorders/>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9:00 a.m. Pacific Time</w:t>
              <w:br/>
              <w:t>Friday, December 11,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86" w:type="dxa"/>
            <w:tcBorders/>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www.virtualshareholdermeeting.com/NTNX2026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71" w:type="dxa"/>
            <w:tcBorders/>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October 13, 2026</w:t>
            </w:r>
          </w:p>
        </w:tc>
      </w:tr>
    </w:tbl>
    <w:p>
      <w:pPr>
        <w:pStyle w:val="TextBody"/>
        <w:bidi w:val="0"/>
        <w:jc w:val="both"/>
        <w:rPr/>
      </w:pPr>
      <w:r>
        <w:rPr/>
        <w:t> </w:t>
      </w:r>
    </w:p>
    <w:p>
      <w:pPr>
        <w:pStyle w:val="Heading2"/>
        <w:bidi w:val="0"/>
        <w:spacing w:before="240" w:after="283"/>
        <w:jc w:val="left"/>
        <w:rPr>
          <w:rFonts w:ascii="Montserrat;sans-serif" w:hAnsi="Montserrat;sans-serif"/>
          <w:color w:val="7855FA"/>
          <w:sz w:val="28"/>
        </w:rPr>
      </w:pPr>
      <w:r>
        <w:rPr>
          <w:rFonts w:ascii="Montserrat;sans-serif" w:hAnsi="Montserrat;sans-serif"/>
          <w:color w:val="7855FA"/>
          <w:sz w:val="28"/>
        </w:rPr>
        <w:t>Proposal 1: Election of Directors (See Page 20)</w:t>
      </w:r>
    </w:p>
    <w:p>
      <w:pPr>
        <w:pStyle w:val="TextBody"/>
        <w:bidi w:val="0"/>
        <w:jc w:val="both"/>
        <w:rPr/>
      </w:pPr>
      <w:r>
        <w:rPr/>
        <w:t> </w:t>
      </w:r>
    </w:p>
    <w:tbl>
      <w:tblPr>
        <w:tblW w:w="7501" w:type="dxa"/>
        <w:jc w:val="left"/>
        <w:tblInd w:w="0" w:type="dxa"/>
        <w:tblLayout w:type="fixed"/>
        <w:tblCellMar>
          <w:top w:w="28" w:type="dxa"/>
          <w:left w:w="28" w:type="dxa"/>
          <w:bottom w:w="28" w:type="dxa"/>
          <w:right w:w="28" w:type="dxa"/>
        </w:tblCellMar>
      </w:tblPr>
      <w:tblGrid>
        <w:gridCol w:w="356"/>
        <w:gridCol w:w="109"/>
        <w:gridCol w:w="7036"/>
      </w:tblGrid>
      <w:tr>
        <w:trPr/>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6" w:type="dxa"/>
            <w:tcBorders/>
            <w:vAlign w:val="center"/>
          </w:tcPr>
          <w:p>
            <w:pPr>
              <w:pStyle w:val="TableContents"/>
              <w:bidi w:val="0"/>
              <w:spacing w:before="0" w:after="283"/>
              <w:jc w:val="left"/>
              <w:rPr>
                <w:sz w:val="4"/>
                <w:szCs w:val="4"/>
              </w:rPr>
            </w:pPr>
            <w:r>
              <w:rPr>
                <w:sz w:val="4"/>
                <w:szCs w:val="4"/>
              </w:rPr>
            </w:r>
          </w:p>
        </w:tc>
      </w:tr>
      <w:tr>
        <w:trPr/>
        <w:tc>
          <w:tcPr>
            <w:tcW w:w="356" w:type="dxa"/>
            <w:tcBorders>
              <w:left w:val="single" w:sz="8" w:space="0" w:color="7855FA"/>
            </w:tcBorders>
            <w:shd w:fill="7855FA"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785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6" w:type="dxa"/>
            <w:tcBorders>
              <w:right w:val="single" w:sz="8" w:space="0" w:color="7855FA"/>
            </w:tcBorders>
            <w:shd w:fill="7855FA"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6" w:type="dxa"/>
            <w:tcBorders>
              <w:left w:val="single" w:sz="8" w:space="0" w:color="7855FA"/>
            </w:tcBorders>
            <w:shd w:fill="7855FA" w:val="clear"/>
            <w:tcMar>
              <w:top w:w="0" w:type="dxa"/>
              <w:bottom w:w="0" w:type="dxa"/>
              <w:right w:w="0" w:type="dxa"/>
            </w:tcMar>
            <w:vAlign w:val="center"/>
          </w:tcPr>
          <w:p>
            <w:pPr>
              <w:pStyle w:val="TableContents"/>
              <w:bidi w:val="0"/>
              <w:spacing w:before="0" w:after="283"/>
              <w:jc w:val="center"/>
              <w:rPr/>
            </w:pPr>
            <w:r>
              <w:rPr/>
              <w:drawing>
                <wp:inline distT="0" distB="0" distL="0" distR="0">
                  <wp:extent cx="161925" cy="161925"/>
                  <wp:effectExtent l="0" t="0" r="0" b="0"/>
                  <wp:docPr id="5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8" descr=""/>
                          <pic:cNvPicPr>
                            <a:picLocks noChangeAspect="1" noChangeArrowheads="1"/>
                          </pic:cNvPicPr>
                        </pic:nvPicPr>
                        <pic:blipFill>
                          <a:blip r:embed="rId46"/>
                          <a:stretch>
                            <a:fillRect/>
                          </a:stretch>
                        </pic:blipFill>
                        <pic:spPr bwMode="auto">
                          <a:xfrm>
                            <a:off x="0" y="0"/>
                            <a:ext cx="161925" cy="161925"/>
                          </a:xfrm>
                          <a:prstGeom prst="rect">
                            <a:avLst/>
                          </a:prstGeom>
                        </pic:spPr>
                      </pic:pic>
                    </a:graphicData>
                  </a:graphic>
                </wp:inline>
              </w:drawing>
            </w:r>
          </w:p>
        </w:tc>
        <w:tc>
          <w:tcPr>
            <w:tcW w:w="109" w:type="dxa"/>
            <w:tcBorders/>
            <w:shd w:fill="785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6" w:type="dxa"/>
            <w:tcBorders>
              <w:right w:val="single" w:sz="8" w:space="0" w:color="7855FA"/>
            </w:tcBorders>
            <w:shd w:fill="7855FA" w:val="clear"/>
            <w:tcMar>
              <w:top w:w="0" w:type="dxa"/>
              <w:left w:w="0" w:type="dxa"/>
              <w:bottom w:w="0" w:type="dxa"/>
            </w:tcMar>
            <w:vAlign w:val="center"/>
          </w:tcPr>
          <w:p>
            <w:pPr>
              <w:pStyle w:val="TableContents"/>
              <w:bidi w:val="0"/>
              <w:spacing w:before="0" w:after="283"/>
              <w:jc w:val="left"/>
              <w:rPr>
                <w:rFonts w:ascii="Montserrat" w:hAnsi="Montserrat"/>
                <w:sz w:val="17"/>
              </w:rPr>
            </w:pPr>
            <w:r>
              <w:rPr>
                <w:rFonts w:ascii="Montserrat;Montserrat Medium;sans-serif" w:hAnsi="Montserrat;Montserrat Medium;sans-serif"/>
                <w:b/>
                <w:color w:val="FFFFFF"/>
                <w:sz w:val="17"/>
              </w:rPr>
              <w:t>Our Board Recommends a</w:t>
            </w:r>
            <w:r>
              <w:rPr>
                <w:rFonts w:ascii="Montserrat" w:hAnsi="Montserrat"/>
                <w:color w:val="FFFFFF"/>
                <w:sz w:val="17"/>
              </w:rPr>
              <w:t xml:space="preserve"> </w:t>
            </w:r>
            <w:r>
              <w:rPr>
                <w:rFonts w:ascii="Montserrat;sans-serif" w:hAnsi="Montserrat;sans-serif"/>
                <w:b/>
                <w:color w:val="FFFFFF"/>
                <w:sz w:val="17"/>
              </w:rPr>
              <w:t>VOTE FOR</w:t>
            </w:r>
            <w:r>
              <w:rPr>
                <w:rFonts w:ascii="Montserrat" w:hAnsi="Montserrat"/>
                <w:color w:val="FFFFFF"/>
                <w:sz w:val="17"/>
              </w:rPr>
              <w:t> </w:t>
            </w:r>
            <w:r>
              <w:rPr>
                <w:rFonts w:ascii="Montserrat;Montserrat Medium;sans-serif" w:hAnsi="Montserrat;Montserrat Medium;sans-serif"/>
                <w:b/>
                <w:color w:val="FFFFFF"/>
                <w:sz w:val="17"/>
              </w:rPr>
              <w:t>Each of the Eight Director Nominees.</w:t>
            </w:r>
          </w:p>
        </w:tc>
      </w:tr>
      <w:tr>
        <w:trPr/>
        <w:tc>
          <w:tcPr>
            <w:tcW w:w="356" w:type="dxa"/>
            <w:tcBorders>
              <w:left w:val="single" w:sz="8" w:space="0" w:color="7855FA"/>
            </w:tcBorders>
            <w:shd w:fill="7855FA"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785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6" w:type="dxa"/>
            <w:tcBorders>
              <w:right w:val="single" w:sz="8" w:space="0" w:color="7855FA"/>
            </w:tcBorders>
            <w:shd w:fill="7855FA"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spacing w:before="120" w:after="283"/>
        <w:jc w:val="left"/>
        <w:rPr>
          <w:rFonts w:ascii="Montserrat;sans-serif" w:hAnsi="Montserrat;sans-serif"/>
          <w:b/>
          <w:color w:val="000000"/>
          <w:sz w:val="22"/>
        </w:rPr>
      </w:pPr>
      <w:r>
        <w:rPr>
          <w:rFonts w:ascii="Montserrat;sans-serif" w:hAnsi="Montserrat;sans-serif"/>
          <w:b/>
          <w:color w:val="000000"/>
          <w:sz w:val="22"/>
        </w:rPr>
        <w:t>Nominees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Eight candidates will stand for re-election as directors at the Annual Meeting, each for a one-year term</w:t>
        <w:br/>
        <w:t>expiring at the 2027 annual meeting of stockholders. The eight director candidates are: Eric K. Brandt, Max de Groen, Virginia Gambale, Steven J. Gomo, Greg Lavender, Rajiv Ramaswami, Gayle Sheppard, and Mark Templeton. Craig Conway will not stand for re-election at the Annual Meeting. The following provides summary information about each director nominee.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410"/>
        <w:gridCol w:w="146"/>
        <w:gridCol w:w="466"/>
        <w:gridCol w:w="146"/>
        <w:gridCol w:w="1096"/>
        <w:gridCol w:w="146"/>
        <w:gridCol w:w="1441"/>
        <w:gridCol w:w="146"/>
        <w:gridCol w:w="1201"/>
        <w:gridCol w:w="146"/>
        <w:gridCol w:w="1122"/>
        <w:gridCol w:w="146"/>
        <w:gridCol w:w="1276"/>
        <w:gridCol w:w="189"/>
        <w:gridCol w:w="1128"/>
      </w:tblGrid>
      <w:tr>
        <w:trPr/>
        <w:tc>
          <w:tcPr>
            <w:tcW w:w="14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ind w:left="0" w:right="0" w:firstLine="60"/>
              <w:jc w:val="left"/>
              <w:rPr>
                <w:sz w:val="4"/>
                <w:szCs w:val="4"/>
              </w:rPr>
            </w:pPr>
            <w:r>
              <w:rPr>
                <w:sz w:val="4"/>
                <w:szCs w:val="4"/>
              </w:rPr>
            </w:r>
          </w:p>
        </w:tc>
      </w:tr>
      <w:tr>
        <w:trPr/>
        <w:tc>
          <w:tcPr>
            <w:tcW w:w="1410" w:type="dxa"/>
            <w:tcBorders>
              <w:bottom w:val="single" w:sz="4" w:space="0" w:color="7855FA"/>
            </w:tcBorders>
            <w:tcMar>
              <w:top w:w="0" w:type="dxa"/>
              <w:left w:w="0" w:type="dxa"/>
              <w:right w:w="0" w:type="dxa"/>
            </w:tcMar>
            <w:vAlign w:val="center"/>
          </w:tcPr>
          <w:p>
            <w:pPr>
              <w:pStyle w:val="TableContents"/>
              <w:bidi w:val="0"/>
              <w:spacing w:before="0" w:after="40"/>
              <w:ind w:left="60" w:right="0" w:firstLine="60"/>
              <w:jc w:val="left"/>
              <w:rPr>
                <w:rFonts w:ascii="Montserrat;sans-serif" w:hAnsi="Montserrat;sans-serif"/>
                <w:b/>
                <w:color w:val="7855FA"/>
                <w:sz w:val="16"/>
              </w:rPr>
            </w:pPr>
            <w:r>
              <w:rPr>
                <w:rFonts w:ascii="Montserrat;sans-serif" w:hAnsi="Montserrat;sans-serif"/>
                <w:b/>
                <w:color w:val="7855FA"/>
                <w:sz w:val="16"/>
              </w:rPr>
              <w:t>Name</w:t>
            </w:r>
          </w:p>
        </w:tc>
        <w:tc>
          <w:tcPr>
            <w:tcW w:w="146" w:type="dxa"/>
            <w:tcBorders>
              <w:bottom w:val="single" w:sz="4" w:space="0" w:color="7855FA"/>
            </w:tcBorders>
            <w:tcMar>
              <w:top w:w="0" w:type="dxa"/>
              <w:left w:w="0" w:type="dxa"/>
              <w:right w:w="0" w:type="dxa"/>
            </w:tcMar>
            <w:vAlign w:val="center"/>
          </w:tcPr>
          <w:p>
            <w:pPr>
              <w:pStyle w:val="TableContents"/>
              <w:bidi w:val="0"/>
              <w:spacing w:before="0" w:after="40"/>
              <w:jc w:val="left"/>
              <w:rPr/>
            </w:pPr>
            <w:r>
              <w:rPr/>
              <w:t> </w:t>
            </w:r>
          </w:p>
        </w:tc>
        <w:tc>
          <w:tcPr>
            <w:tcW w:w="466" w:type="dxa"/>
            <w:tcBorders>
              <w:bottom w:val="single" w:sz="4" w:space="0" w:color="7855FA"/>
            </w:tcBorders>
            <w:tcMar>
              <w:top w:w="0" w:type="dxa"/>
              <w:left w:w="0" w:type="dxa"/>
              <w:right w:w="0" w:type="dxa"/>
            </w:tcMar>
            <w:vAlign w:val="center"/>
          </w:tcPr>
          <w:p>
            <w:pPr>
              <w:pStyle w:val="TableContents"/>
              <w:bidi w:val="0"/>
              <w:spacing w:before="0" w:after="40"/>
              <w:jc w:val="center"/>
              <w:rPr>
                <w:rFonts w:ascii="Montserrat;sans-serif" w:hAnsi="Montserrat;sans-serif"/>
                <w:b/>
                <w:color w:val="7855FA"/>
                <w:sz w:val="16"/>
              </w:rPr>
            </w:pPr>
            <w:r>
              <w:rPr>
                <w:rFonts w:ascii="Montserrat;sans-serif" w:hAnsi="Montserrat;sans-serif"/>
                <w:b/>
                <w:color w:val="7855FA"/>
                <w:sz w:val="16"/>
              </w:rPr>
              <w:t>Age</w:t>
            </w:r>
          </w:p>
        </w:tc>
        <w:tc>
          <w:tcPr>
            <w:tcW w:w="146" w:type="dxa"/>
            <w:tcBorders>
              <w:bottom w:val="single" w:sz="4" w:space="0" w:color="7855FA"/>
            </w:tcBorders>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7855FA"/>
            </w:tcBorders>
            <w:tcMar>
              <w:top w:w="0" w:type="dxa"/>
              <w:left w:w="0" w:type="dxa"/>
              <w:right w:w="0" w:type="dxa"/>
            </w:tcMar>
            <w:vAlign w:val="center"/>
          </w:tcPr>
          <w:p>
            <w:pPr>
              <w:pStyle w:val="TableContents"/>
              <w:bidi w:val="0"/>
              <w:spacing w:before="0" w:after="40"/>
              <w:jc w:val="center"/>
              <w:rPr>
                <w:rFonts w:ascii="Montserrat;sans-serif" w:hAnsi="Montserrat;sans-serif"/>
                <w:sz w:val="16"/>
              </w:rPr>
            </w:pPr>
            <w:r>
              <w:rPr>
                <w:rFonts w:ascii="Montserrat;sans-serif" w:hAnsi="Montserrat;sans-serif"/>
                <w:b/>
                <w:color w:val="7855FA"/>
                <w:sz w:val="16"/>
              </w:rPr>
              <w:t>Audit</w:t>
            </w:r>
            <w:r>
              <w:rPr>
                <w:rFonts w:ascii="Montserrat;sans-serif" w:hAnsi="Montserrat;sans-serif"/>
                <w:color w:val="7855FA"/>
                <w:sz w:val="16"/>
              </w:rPr>
              <w:br/>
            </w:r>
            <w:r>
              <w:rPr>
                <w:rFonts w:ascii="Montserrat;sans-serif" w:hAnsi="Montserrat;sans-serif"/>
                <w:b/>
                <w:color w:val="7855FA"/>
                <w:sz w:val="16"/>
              </w:rPr>
              <w:t>Committee</w:t>
            </w:r>
          </w:p>
        </w:tc>
        <w:tc>
          <w:tcPr>
            <w:tcW w:w="146" w:type="dxa"/>
            <w:tcBorders>
              <w:bottom w:val="single" w:sz="4" w:space="0" w:color="7855FA"/>
            </w:tcBorders>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7855FA"/>
            </w:tcBorders>
            <w:tcMar>
              <w:top w:w="0" w:type="dxa"/>
              <w:left w:w="0" w:type="dxa"/>
              <w:right w:w="0" w:type="dxa"/>
            </w:tcMar>
            <w:vAlign w:val="center"/>
          </w:tcPr>
          <w:p>
            <w:pPr>
              <w:pStyle w:val="TableContents"/>
              <w:bidi w:val="0"/>
              <w:spacing w:before="0" w:after="40"/>
              <w:jc w:val="center"/>
              <w:rPr>
                <w:rFonts w:ascii="Montserrat;sans-serif" w:hAnsi="Montserrat;sans-serif"/>
                <w:sz w:val="16"/>
              </w:rPr>
            </w:pPr>
            <w:r>
              <w:rPr>
                <w:rFonts w:ascii="Montserrat;sans-serif" w:hAnsi="Montserrat;sans-serif"/>
                <w:b/>
                <w:color w:val="7855FA"/>
                <w:sz w:val="16"/>
              </w:rPr>
              <w:t>Compensation</w:t>
            </w:r>
            <w:r>
              <w:rPr>
                <w:rFonts w:ascii="Montserrat;sans-serif" w:hAnsi="Montserrat;sans-serif"/>
                <w:color w:val="7855FA"/>
                <w:sz w:val="16"/>
              </w:rPr>
              <w:br/>
            </w:r>
            <w:r>
              <w:rPr>
                <w:rFonts w:ascii="Montserrat;sans-serif" w:hAnsi="Montserrat;sans-serif"/>
                <w:b/>
                <w:color w:val="7855FA"/>
                <w:sz w:val="16"/>
              </w:rPr>
              <w:t>Committee</w:t>
            </w:r>
          </w:p>
        </w:tc>
        <w:tc>
          <w:tcPr>
            <w:tcW w:w="146" w:type="dxa"/>
            <w:tcBorders>
              <w:bottom w:val="single" w:sz="4" w:space="0" w:color="7855FA"/>
            </w:tcBorders>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7855FA"/>
            </w:tcBorders>
            <w:tcMar>
              <w:top w:w="0" w:type="dxa"/>
              <w:left w:w="0" w:type="dxa"/>
              <w:right w:w="0" w:type="dxa"/>
            </w:tcMar>
            <w:vAlign w:val="center"/>
          </w:tcPr>
          <w:p>
            <w:pPr>
              <w:pStyle w:val="TableContents"/>
              <w:bidi w:val="0"/>
              <w:spacing w:before="0" w:after="40"/>
              <w:jc w:val="center"/>
              <w:rPr>
                <w:rFonts w:ascii="Montserrat;sans-serif" w:hAnsi="Montserrat;sans-serif"/>
                <w:sz w:val="16"/>
              </w:rPr>
            </w:pPr>
            <w:r>
              <w:rPr>
                <w:rFonts w:ascii="Montserrat;sans-serif" w:hAnsi="Montserrat;sans-serif"/>
                <w:b/>
                <w:color w:val="7855FA"/>
                <w:sz w:val="16"/>
              </w:rPr>
              <w:t>Nominating</w:t>
            </w:r>
            <w:r>
              <w:rPr>
                <w:rFonts w:ascii="Montserrat;sans-serif" w:hAnsi="Montserrat;sans-serif"/>
                <w:color w:val="7855FA"/>
                <w:sz w:val="16"/>
              </w:rPr>
              <w:br/>
            </w:r>
            <w:r>
              <w:rPr>
                <w:rFonts w:ascii="Montserrat;sans-serif" w:hAnsi="Montserrat;sans-serif"/>
                <w:b/>
                <w:color w:val="7855FA"/>
                <w:sz w:val="16"/>
              </w:rPr>
              <w:t>and</w:t>
            </w:r>
            <w:r>
              <w:rPr>
                <w:rFonts w:ascii="Montserrat;sans-serif" w:hAnsi="Montserrat;sans-serif"/>
                <w:color w:val="7855FA"/>
                <w:sz w:val="16"/>
              </w:rPr>
              <w:br/>
            </w:r>
            <w:r>
              <w:rPr>
                <w:rFonts w:ascii="Montserrat;sans-serif" w:hAnsi="Montserrat;sans-serif"/>
                <w:b/>
                <w:color w:val="7855FA"/>
                <w:sz w:val="16"/>
              </w:rPr>
              <w:t>Corporate</w:t>
            </w:r>
            <w:r>
              <w:rPr>
                <w:rFonts w:ascii="Montserrat;sans-serif" w:hAnsi="Montserrat;sans-serif"/>
                <w:color w:val="7855FA"/>
                <w:sz w:val="16"/>
              </w:rPr>
              <w:br/>
            </w:r>
            <w:r>
              <w:rPr>
                <w:rFonts w:ascii="Montserrat;sans-serif" w:hAnsi="Montserrat;sans-serif"/>
                <w:b/>
                <w:color w:val="7855FA"/>
                <w:sz w:val="16"/>
              </w:rPr>
              <w:t>Governance</w:t>
            </w:r>
            <w:r>
              <w:rPr>
                <w:rFonts w:ascii="Montserrat;sans-serif" w:hAnsi="Montserrat;sans-serif"/>
                <w:color w:val="7855FA"/>
                <w:sz w:val="16"/>
              </w:rPr>
              <w:br/>
            </w:r>
            <w:r>
              <w:rPr>
                <w:rFonts w:ascii="Montserrat;sans-serif" w:hAnsi="Montserrat;sans-serif"/>
                <w:b/>
                <w:color w:val="7855FA"/>
                <w:sz w:val="16"/>
              </w:rPr>
              <w:t>Committee</w:t>
            </w:r>
          </w:p>
        </w:tc>
        <w:tc>
          <w:tcPr>
            <w:tcW w:w="146" w:type="dxa"/>
            <w:tcBorders>
              <w:bottom w:val="single" w:sz="4" w:space="0" w:color="7855FA"/>
            </w:tcBorders>
            <w:tcMar>
              <w:top w:w="0" w:type="dxa"/>
              <w:left w:w="0" w:type="dxa"/>
              <w:right w:w="0" w:type="dxa"/>
            </w:tcMar>
            <w:vAlign w:val="center"/>
          </w:tcPr>
          <w:p>
            <w:pPr>
              <w:pStyle w:val="TableContents"/>
              <w:bidi w:val="0"/>
              <w:spacing w:before="0" w:after="283"/>
              <w:jc w:val="left"/>
              <w:rPr/>
            </w:pPr>
            <w:r>
              <w:rPr/>
              <w:t> </w:t>
            </w:r>
          </w:p>
        </w:tc>
        <w:tc>
          <w:tcPr>
            <w:tcW w:w="1122" w:type="dxa"/>
            <w:tcBorders>
              <w:bottom w:val="single" w:sz="4" w:space="0" w:color="7855FA"/>
            </w:tcBorders>
            <w:tcMar>
              <w:top w:w="0" w:type="dxa"/>
              <w:left w:w="0" w:type="dxa"/>
              <w:right w:w="0" w:type="dxa"/>
            </w:tcMar>
            <w:vAlign w:val="center"/>
          </w:tcPr>
          <w:p>
            <w:pPr>
              <w:pStyle w:val="TableContents"/>
              <w:bidi w:val="0"/>
              <w:spacing w:before="0" w:after="40"/>
              <w:jc w:val="center"/>
              <w:rPr>
                <w:rFonts w:ascii="Montserrat;sans-serif" w:hAnsi="Montserrat;sans-serif"/>
                <w:sz w:val="16"/>
              </w:rPr>
            </w:pPr>
            <w:r>
              <w:rPr>
                <w:rFonts w:ascii="Montserrat;sans-serif" w:hAnsi="Montserrat;sans-serif"/>
                <w:b/>
                <w:color w:val="7855FA"/>
                <w:sz w:val="16"/>
              </w:rPr>
              <w:t>Security</w:t>
            </w:r>
            <w:r>
              <w:rPr>
                <w:rFonts w:ascii="Montserrat;sans-serif" w:hAnsi="Montserrat;sans-serif"/>
                <w:color w:val="7855FA"/>
                <w:sz w:val="16"/>
              </w:rPr>
              <w:br/>
            </w:r>
            <w:r>
              <w:rPr>
                <w:rFonts w:ascii="Montserrat;sans-serif" w:hAnsi="Montserrat;sans-serif"/>
                <w:b/>
                <w:color w:val="7855FA"/>
                <w:sz w:val="16"/>
              </w:rPr>
              <w:t>and Privacy</w:t>
            </w:r>
            <w:r>
              <w:rPr>
                <w:rFonts w:ascii="Montserrat;sans-serif" w:hAnsi="Montserrat;sans-serif"/>
                <w:color w:val="7855FA"/>
                <w:sz w:val="16"/>
              </w:rPr>
              <w:br/>
            </w:r>
            <w:r>
              <w:rPr>
                <w:rFonts w:ascii="Montserrat;sans-serif" w:hAnsi="Montserrat;sans-serif"/>
                <w:b/>
                <w:color w:val="7855FA"/>
                <w:sz w:val="16"/>
              </w:rPr>
              <w:t>Committee</w:t>
            </w:r>
          </w:p>
        </w:tc>
        <w:tc>
          <w:tcPr>
            <w:tcW w:w="146" w:type="dxa"/>
            <w:tcBorders>
              <w:bottom w:val="single" w:sz="4" w:space="0" w:color="7855FA"/>
            </w:tcBorders>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7855FA"/>
            </w:tcBorders>
            <w:tcMar>
              <w:top w:w="0" w:type="dxa"/>
              <w:left w:w="0" w:type="dxa"/>
              <w:right w:w="0" w:type="dxa"/>
            </w:tcMar>
            <w:vAlign w:val="center"/>
          </w:tcPr>
          <w:p>
            <w:pPr>
              <w:pStyle w:val="TableContents"/>
              <w:bidi w:val="0"/>
              <w:spacing w:before="0" w:after="40"/>
              <w:jc w:val="center"/>
              <w:rPr>
                <w:rFonts w:ascii="Montserrat;sans-serif" w:hAnsi="Montserrat;sans-serif"/>
                <w:b/>
                <w:color w:val="7855FA"/>
                <w:sz w:val="16"/>
              </w:rPr>
            </w:pPr>
            <w:r>
              <w:rPr>
                <w:rFonts w:ascii="Montserrat;sans-serif" w:hAnsi="Montserrat;sans-serif"/>
                <w:b/>
                <w:color w:val="7855FA"/>
                <w:sz w:val="16"/>
              </w:rPr>
              <w:t>Independent</w:t>
            </w:r>
          </w:p>
        </w:tc>
        <w:tc>
          <w:tcPr>
            <w:tcW w:w="189" w:type="dxa"/>
            <w:tcBorders>
              <w:bottom w:val="single" w:sz="4" w:space="0" w:color="7855FA"/>
            </w:tcBorders>
            <w:tcMar>
              <w:top w:w="0" w:type="dxa"/>
              <w:left w:w="0" w:type="dxa"/>
              <w:right w:w="0" w:type="dxa"/>
            </w:tcMar>
            <w:vAlign w:val="center"/>
          </w:tcPr>
          <w:p>
            <w:pPr>
              <w:pStyle w:val="TableContents"/>
              <w:bidi w:val="0"/>
              <w:spacing w:before="0" w:after="283"/>
              <w:ind w:left="0" w:right="0" w:firstLine="43"/>
              <w:jc w:val="left"/>
              <w:rPr/>
            </w:pPr>
            <w:r>
              <w:rPr/>
              <w:t> </w:t>
            </w:r>
          </w:p>
        </w:tc>
        <w:tc>
          <w:tcPr>
            <w:tcW w:w="1128" w:type="dxa"/>
            <w:tcBorders>
              <w:bottom w:val="single" w:sz="4" w:space="0" w:color="7855FA"/>
            </w:tcBorders>
            <w:tcMar>
              <w:top w:w="0" w:type="dxa"/>
              <w:left w:w="0" w:type="dxa"/>
              <w:right w:w="0" w:type="dxa"/>
            </w:tcMar>
            <w:vAlign w:val="center"/>
          </w:tcPr>
          <w:p>
            <w:pPr>
              <w:pStyle w:val="TableContents"/>
              <w:bidi w:val="0"/>
              <w:spacing w:before="0" w:after="40"/>
              <w:ind w:left="0" w:right="0" w:firstLine="60"/>
              <w:jc w:val="center"/>
              <w:rPr>
                <w:rFonts w:ascii="Montserrat;sans-serif" w:hAnsi="Montserrat;sans-serif"/>
                <w:b/>
                <w:color w:val="7855FA"/>
                <w:sz w:val="16"/>
              </w:rPr>
            </w:pPr>
            <w:r>
              <w:rPr>
                <w:rFonts w:ascii="Montserrat;sans-serif" w:hAnsi="Montserrat;sans-serif"/>
                <w:b/>
                <w:color w:val="7855FA"/>
                <w:sz w:val="16"/>
              </w:rPr>
              <w:t>Director Since</w:t>
            </w:r>
          </w:p>
        </w:tc>
      </w:tr>
      <w:tr>
        <w:trPr/>
        <w:tc>
          <w:tcPr>
            <w:tcW w:w="1410" w:type="dxa"/>
            <w:tcBorders>
              <w:bottom w:val="single" w:sz="4" w:space="0" w:color="444444"/>
            </w:tcBorders>
            <w:tcMar>
              <w:top w:w="0" w:type="dxa"/>
              <w:left w:w="0" w:type="dxa"/>
              <w:right w:w="0" w:type="dxa"/>
            </w:tcMar>
            <w:vAlign w:val="center"/>
          </w:tcPr>
          <w:p>
            <w:pPr>
              <w:pStyle w:val="TableContents"/>
              <w:bidi w:val="0"/>
              <w:spacing w:before="40" w:after="40"/>
              <w:ind w:left="60" w:right="0" w:firstLine="6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Eric K. Brandt</w:t>
            </w:r>
          </w:p>
        </w:tc>
        <w:tc>
          <w:tcPr>
            <w:tcW w:w="146" w:type="dxa"/>
            <w:tcBorders>
              <w:bottom w:val="single" w:sz="4" w:space="0" w:color="444444"/>
            </w:tcBorders>
            <w:tcMar>
              <w:top w:w="0" w:type="dxa"/>
              <w:left w:w="0" w:type="dxa"/>
              <w:right w:w="0" w:type="dxa"/>
            </w:tcMar>
            <w:vAlign w:val="center"/>
          </w:tcPr>
          <w:p>
            <w:pPr>
              <w:pStyle w:val="TableContents"/>
              <w:bidi w:val="0"/>
              <w:spacing w:before="40" w:after="40"/>
              <w:jc w:val="left"/>
              <w:rPr/>
            </w:pPr>
            <w:r>
              <w:rPr/>
              <w:t> </w:t>
            </w:r>
          </w:p>
        </w:tc>
        <w:tc>
          <w:tcPr>
            <w:tcW w:w="466" w:type="dxa"/>
            <w:tcBorders>
              <w:bottom w:val="single" w:sz="4" w:space="0" w:color="444444"/>
            </w:tcBorders>
            <w:tcMar>
              <w:top w:w="0" w:type="dxa"/>
              <w:left w:w="0" w:type="dxa"/>
              <w:right w:w="0" w:type="dxa"/>
            </w:tcMar>
            <w:vAlign w:val="center"/>
          </w:tcPr>
          <w:p>
            <w:pPr>
              <w:pStyle w:val="TableContents"/>
              <w:bidi w:val="0"/>
              <w:spacing w:before="40" w:after="40"/>
              <w:jc w:val="center"/>
              <w:rPr>
                <w:rFonts w:ascii="Montserrat;sans-serif" w:hAnsi="Montserrat;sans-serif"/>
                <w:color w:val="000000"/>
                <w:sz w:val="17"/>
              </w:rPr>
            </w:pPr>
            <w:r>
              <w:rPr>
                <w:rFonts w:ascii="Montserrat;sans-serif" w:hAnsi="Montserrat;sans-serif"/>
                <w:color w:val="000000"/>
                <w:sz w:val="17"/>
              </w:rPr>
              <w:t>64</w:t>
            </w:r>
          </w:p>
        </w:tc>
        <w:tc>
          <w:tcPr>
            <w:tcW w:w="146" w:type="dxa"/>
            <w:tcBorders>
              <w:bottom w:val="single" w:sz="4" w:space="0" w:color="444444"/>
            </w:tcBorders>
            <w:tcMar>
              <w:top w:w="0" w:type="dxa"/>
              <w:left w:w="0" w:type="dxa"/>
              <w:right w:w="0" w:type="dxa"/>
            </w:tcMar>
            <w:vAlign w:val="center"/>
          </w:tcPr>
          <w:p>
            <w:pPr>
              <w:pStyle w:val="TableContents"/>
              <w:bidi w:val="0"/>
              <w:spacing w:before="40" w:after="40"/>
              <w:jc w:val="center"/>
              <w:rPr/>
            </w:pPr>
            <w:r>
              <w:rPr/>
              <w:t> </w:t>
            </w:r>
          </w:p>
        </w:tc>
        <w:tc>
          <w:tcPr>
            <w:tcW w:w="1096" w:type="dxa"/>
            <w:tcBorders>
              <w:bottom w:val="single" w:sz="4" w:space="0" w:color="444444"/>
            </w:tcBorders>
            <w:tcMar>
              <w:top w:w="0" w:type="dxa"/>
              <w:left w:w="0" w:type="dxa"/>
              <w:right w:w="0" w:type="dxa"/>
            </w:tcMar>
            <w:vAlign w:val="center"/>
          </w:tcPr>
          <w:p>
            <w:pPr>
              <w:pStyle w:val="TableContents"/>
              <w:bidi w:val="0"/>
              <w:spacing w:before="40" w:after="40"/>
              <w:jc w:val="center"/>
              <w:rPr/>
            </w:pPr>
            <w:r>
              <w:rPr/>
              <w:drawing>
                <wp:inline distT="0" distB="0" distL="0" distR="0">
                  <wp:extent cx="161925" cy="161925"/>
                  <wp:effectExtent l="0" t="0" r="0" b="0"/>
                  <wp:docPr id="54"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9" descr=""/>
                          <pic:cNvPicPr>
                            <a:picLocks noChangeAspect="1" noChangeArrowheads="1"/>
                          </pic:cNvPicPr>
                        </pic:nvPicPr>
                        <pic:blipFill>
                          <a:blip r:embed="rId47"/>
                          <a:stretch>
                            <a:fillRect/>
                          </a:stretch>
                        </pic:blipFill>
                        <pic:spPr bwMode="auto">
                          <a:xfrm>
                            <a:off x="0" y="0"/>
                            <a:ext cx="161925" cy="161925"/>
                          </a:xfrm>
                          <a:prstGeom prst="rect">
                            <a:avLst/>
                          </a:prstGeom>
                        </pic:spPr>
                      </pic:pic>
                    </a:graphicData>
                  </a:graphic>
                </wp:inline>
              </w:drawing>
            </w:r>
          </w:p>
        </w:tc>
        <w:tc>
          <w:tcPr>
            <w:tcW w:w="146" w:type="dxa"/>
            <w:tcBorders>
              <w:bottom w:val="single" w:sz="4" w:space="0" w:color="444444"/>
            </w:tcBorders>
            <w:tcMar>
              <w:top w:w="0" w:type="dxa"/>
              <w:left w:w="0" w:type="dxa"/>
              <w:right w:w="0" w:type="dxa"/>
            </w:tcMar>
            <w:vAlign w:val="center"/>
          </w:tcPr>
          <w:p>
            <w:pPr>
              <w:pStyle w:val="TableContents"/>
              <w:bidi w:val="0"/>
              <w:spacing w:before="40" w:after="40"/>
              <w:jc w:val="center"/>
              <w:rPr/>
            </w:pPr>
            <w:r>
              <w:rPr/>
              <w:t> </w:t>
            </w:r>
          </w:p>
        </w:tc>
        <w:tc>
          <w:tcPr>
            <w:tcW w:w="1441" w:type="dxa"/>
            <w:tcBorders>
              <w:bottom w:val="single" w:sz="4" w:space="0" w:color="444444"/>
            </w:tcBorders>
            <w:tcMar>
              <w:top w:w="0" w:type="dxa"/>
              <w:left w:w="0" w:type="dxa"/>
              <w:right w:w="0" w:type="dxa"/>
            </w:tcMar>
            <w:vAlign w:val="center"/>
          </w:tcPr>
          <w:p>
            <w:pPr>
              <w:pStyle w:val="TableContents"/>
              <w:bidi w:val="0"/>
              <w:spacing w:before="40" w:after="40"/>
              <w:jc w:val="center"/>
              <w:rPr/>
            </w:pPr>
            <w:r>
              <w:rPr/>
              <w:t> </w:t>
            </w:r>
          </w:p>
        </w:tc>
        <w:tc>
          <w:tcPr>
            <w:tcW w:w="146" w:type="dxa"/>
            <w:tcBorders>
              <w:bottom w:val="single" w:sz="4" w:space="0" w:color="444444"/>
            </w:tcBorders>
            <w:tcMar>
              <w:top w:w="0" w:type="dxa"/>
              <w:left w:w="0" w:type="dxa"/>
              <w:right w:w="0" w:type="dxa"/>
            </w:tcMar>
            <w:vAlign w:val="center"/>
          </w:tcPr>
          <w:p>
            <w:pPr>
              <w:pStyle w:val="TableContents"/>
              <w:bidi w:val="0"/>
              <w:spacing w:before="40" w:after="40"/>
              <w:jc w:val="center"/>
              <w:rPr/>
            </w:pPr>
            <w:r>
              <w:rPr/>
              <w:t> </w:t>
            </w:r>
          </w:p>
        </w:tc>
        <w:tc>
          <w:tcPr>
            <w:tcW w:w="1201" w:type="dxa"/>
            <w:tcBorders>
              <w:bottom w:val="single" w:sz="4" w:space="0" w:color="444444"/>
            </w:tcBorders>
            <w:tcMar>
              <w:top w:w="0" w:type="dxa"/>
              <w:left w:w="0" w:type="dxa"/>
              <w:right w:w="0" w:type="dxa"/>
            </w:tcMar>
            <w:vAlign w:val="center"/>
          </w:tcPr>
          <w:p>
            <w:pPr>
              <w:pStyle w:val="TableContents"/>
              <w:bidi w:val="0"/>
              <w:spacing w:before="40" w:after="40"/>
              <w:jc w:val="center"/>
              <w:rPr/>
            </w:pPr>
            <w:r>
              <w:rPr/>
              <w:t> </w:t>
            </w:r>
          </w:p>
        </w:tc>
        <w:tc>
          <w:tcPr>
            <w:tcW w:w="146" w:type="dxa"/>
            <w:tcBorders>
              <w:bottom w:val="single" w:sz="4" w:space="0" w:color="444444"/>
            </w:tcBorders>
            <w:tcMar>
              <w:top w:w="0" w:type="dxa"/>
              <w:left w:w="0" w:type="dxa"/>
              <w:right w:w="0" w:type="dxa"/>
            </w:tcMar>
            <w:vAlign w:val="center"/>
          </w:tcPr>
          <w:p>
            <w:pPr>
              <w:pStyle w:val="TableContents"/>
              <w:bidi w:val="0"/>
              <w:spacing w:before="40" w:after="40"/>
              <w:jc w:val="center"/>
              <w:rPr/>
            </w:pPr>
            <w:r>
              <w:rPr/>
              <w:t> </w:t>
            </w:r>
          </w:p>
        </w:tc>
        <w:tc>
          <w:tcPr>
            <w:tcW w:w="1122" w:type="dxa"/>
            <w:tcBorders>
              <w:bottom w:val="single" w:sz="4" w:space="0" w:color="444444"/>
            </w:tcBorders>
            <w:tcMar>
              <w:top w:w="0" w:type="dxa"/>
              <w:left w:w="0" w:type="dxa"/>
              <w:right w:w="0" w:type="dxa"/>
            </w:tcMar>
            <w:vAlign w:val="center"/>
          </w:tcPr>
          <w:p>
            <w:pPr>
              <w:pStyle w:val="TableContents"/>
              <w:bidi w:val="0"/>
              <w:spacing w:before="60" w:after="60"/>
              <w:jc w:val="center"/>
              <w:rPr/>
            </w:pPr>
            <w:r>
              <w:rPr/>
              <w:drawing>
                <wp:inline distT="0" distB="0" distL="0" distR="0">
                  <wp:extent cx="161925" cy="161925"/>
                  <wp:effectExtent l="0" t="0" r="0" b="0"/>
                  <wp:docPr id="55"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0" descr=""/>
                          <pic:cNvPicPr>
                            <a:picLocks noChangeAspect="1" noChangeArrowheads="1"/>
                          </pic:cNvPicPr>
                        </pic:nvPicPr>
                        <pic:blipFill>
                          <a:blip r:embed="rId48"/>
                          <a:stretch>
                            <a:fillRect/>
                          </a:stretch>
                        </pic:blipFill>
                        <pic:spPr bwMode="auto">
                          <a:xfrm>
                            <a:off x="0" y="0"/>
                            <a:ext cx="161925" cy="161925"/>
                          </a:xfrm>
                          <a:prstGeom prst="rect">
                            <a:avLst/>
                          </a:prstGeom>
                        </pic:spPr>
                      </pic:pic>
                    </a:graphicData>
                  </a:graphic>
                </wp:inline>
              </w:drawing>
            </w:r>
          </w:p>
        </w:tc>
        <w:tc>
          <w:tcPr>
            <w:tcW w:w="146" w:type="dxa"/>
            <w:tcBorders>
              <w:bottom w:val="single" w:sz="4" w:space="0" w:color="444444"/>
            </w:tcBorders>
            <w:tcMar>
              <w:top w:w="0" w:type="dxa"/>
              <w:left w:w="0" w:type="dxa"/>
              <w:right w:w="0" w:type="dxa"/>
            </w:tcMar>
            <w:vAlign w:val="center"/>
          </w:tcPr>
          <w:p>
            <w:pPr>
              <w:pStyle w:val="TableContents"/>
              <w:bidi w:val="0"/>
              <w:spacing w:before="40" w:after="40"/>
              <w:jc w:val="center"/>
              <w:rPr/>
            </w:pPr>
            <w:r>
              <w:rPr/>
              <w:t> </w:t>
            </w:r>
          </w:p>
        </w:tc>
        <w:tc>
          <w:tcPr>
            <w:tcW w:w="1276" w:type="dxa"/>
            <w:tcBorders>
              <w:bottom w:val="single" w:sz="4" w:space="0" w:color="444444"/>
            </w:tcBorders>
            <w:tcMar>
              <w:top w:w="0" w:type="dxa"/>
              <w:left w:w="0" w:type="dxa"/>
              <w:right w:w="0" w:type="dxa"/>
            </w:tcMar>
            <w:vAlign w:val="center"/>
          </w:tcPr>
          <w:p>
            <w:pPr>
              <w:pStyle w:val="TableContents"/>
              <w:bidi w:val="0"/>
              <w:spacing w:before="40" w:after="40"/>
              <w:jc w:val="center"/>
              <w:rPr/>
            </w:pPr>
            <w:r>
              <w:rPr/>
              <w:drawing>
                <wp:inline distT="0" distB="0" distL="0" distR="0">
                  <wp:extent cx="161925" cy="161925"/>
                  <wp:effectExtent l="0" t="0" r="0" b="0"/>
                  <wp:docPr id="56"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1" descr=""/>
                          <pic:cNvPicPr>
                            <a:picLocks noChangeAspect="1" noChangeArrowheads="1"/>
                          </pic:cNvPicPr>
                        </pic:nvPicPr>
                        <pic:blipFill>
                          <a:blip r:embed="rId49"/>
                          <a:stretch>
                            <a:fillRect/>
                          </a:stretch>
                        </pic:blipFill>
                        <pic:spPr bwMode="auto">
                          <a:xfrm>
                            <a:off x="0" y="0"/>
                            <a:ext cx="161925" cy="161925"/>
                          </a:xfrm>
                          <a:prstGeom prst="rect">
                            <a:avLst/>
                          </a:prstGeom>
                        </pic:spPr>
                      </pic:pic>
                    </a:graphicData>
                  </a:graphic>
                </wp:inline>
              </w:drawing>
            </w:r>
          </w:p>
        </w:tc>
        <w:tc>
          <w:tcPr>
            <w:tcW w:w="189" w:type="dxa"/>
            <w:tcBorders>
              <w:bottom w:val="single" w:sz="4" w:space="0" w:color="444444"/>
            </w:tcBorders>
            <w:tcMar>
              <w:top w:w="0" w:type="dxa"/>
              <w:left w:w="0" w:type="dxa"/>
              <w:right w:w="0" w:type="dxa"/>
            </w:tcMar>
            <w:vAlign w:val="center"/>
          </w:tcPr>
          <w:p>
            <w:pPr>
              <w:pStyle w:val="TableContents"/>
              <w:bidi w:val="0"/>
              <w:spacing w:before="40" w:after="40"/>
              <w:jc w:val="center"/>
              <w:rPr/>
            </w:pPr>
            <w:r>
              <w:rPr/>
              <w:t> </w:t>
            </w:r>
          </w:p>
        </w:tc>
        <w:tc>
          <w:tcPr>
            <w:tcW w:w="1128" w:type="dxa"/>
            <w:tcBorders>
              <w:bottom w:val="single" w:sz="4" w:space="0" w:color="444444"/>
            </w:tcBorders>
            <w:tcMar>
              <w:top w:w="0" w:type="dxa"/>
              <w:left w:w="0" w:type="dxa"/>
              <w:right w:w="0" w:type="dxa"/>
            </w:tcMar>
            <w:vAlign w:val="center"/>
          </w:tcPr>
          <w:p>
            <w:pPr>
              <w:pStyle w:val="TableContents"/>
              <w:bidi w:val="0"/>
              <w:spacing w:before="40" w:after="40"/>
              <w:ind w:left="0" w:right="0" w:firstLine="60"/>
              <w:jc w:val="center"/>
              <w:rPr>
                <w:rFonts w:ascii="Montserrat;sans-serif" w:hAnsi="Montserrat;sans-serif"/>
                <w:color w:val="000000"/>
                <w:sz w:val="17"/>
              </w:rPr>
            </w:pPr>
            <w:r>
              <w:rPr>
                <w:rFonts w:ascii="Montserrat;sans-serif" w:hAnsi="Montserrat;sans-serif"/>
                <w:color w:val="000000"/>
                <w:sz w:val="17"/>
              </w:rPr>
              <w:t>2025</w:t>
            </w:r>
          </w:p>
        </w:tc>
      </w:tr>
      <w:tr>
        <w:trPr/>
        <w:tc>
          <w:tcPr>
            <w:tcW w:w="1410" w:type="dxa"/>
            <w:tcBorders>
              <w:bottom w:val="single" w:sz="4" w:space="0" w:color="000000"/>
            </w:tcBorders>
            <w:tcMar>
              <w:top w:w="0" w:type="dxa"/>
              <w:left w:w="0" w:type="dxa"/>
              <w:right w:w="0" w:type="dxa"/>
            </w:tcMar>
            <w:vAlign w:val="center"/>
          </w:tcPr>
          <w:p>
            <w:pPr>
              <w:pStyle w:val="TableContents"/>
              <w:bidi w:val="0"/>
              <w:spacing w:before="40" w:after="40"/>
              <w:ind w:left="60" w:right="0" w:firstLine="6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Max de Groen</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40" w:after="40"/>
              <w:jc w:val="center"/>
              <w:rPr>
                <w:rFonts w:ascii="Montserrat;sans-serif" w:hAnsi="Montserrat;sans-serif"/>
                <w:color w:val="000000"/>
                <w:sz w:val="17"/>
              </w:rPr>
            </w:pPr>
            <w:r>
              <w:rPr>
                <w:rFonts w:ascii="Montserrat;sans-serif" w:hAnsi="Montserrat;sans-serif"/>
                <w:color w:val="000000"/>
                <w:sz w:val="17"/>
              </w:rPr>
              <w:t>41</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096" w:type="dxa"/>
            <w:tcBorders>
              <w:bottom w:val="single" w:sz="4" w:space="0" w:color="000000"/>
            </w:tcBorders>
            <w:tcMar>
              <w:top w:w="0" w:type="dxa"/>
              <w:left w:w="0" w:type="dxa"/>
              <w:right w:w="0" w:type="dxa"/>
            </w:tcMar>
            <w:vAlign w:val="center"/>
          </w:tcPr>
          <w:p>
            <w:pPr>
              <w:pStyle w:val="TableContents"/>
              <w:bidi w:val="0"/>
              <w:spacing w:before="60" w:after="60"/>
              <w:jc w:val="center"/>
              <w:rPr/>
            </w:pPr>
            <w:r>
              <w:rPr/>
              <w:drawing>
                <wp:inline distT="0" distB="0" distL="0" distR="0">
                  <wp:extent cx="161925" cy="161925"/>
                  <wp:effectExtent l="0" t="0" r="0" b="0"/>
                  <wp:docPr id="57"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2" descr=""/>
                          <pic:cNvPicPr>
                            <a:picLocks noChangeAspect="1" noChangeArrowheads="1"/>
                          </pic:cNvPicPr>
                        </pic:nvPicPr>
                        <pic:blipFill>
                          <a:blip r:embed="rId50"/>
                          <a:stretch>
                            <a:fillRect/>
                          </a:stretch>
                        </pic:blipFill>
                        <pic:spPr bwMode="auto">
                          <a:xfrm>
                            <a:off x="0" y="0"/>
                            <a:ext cx="161925" cy="161925"/>
                          </a:xfrm>
                          <a:prstGeom prst="rect">
                            <a:avLst/>
                          </a:prstGeom>
                        </pic:spPr>
                      </pic:pic>
                    </a:graphicData>
                  </a:graphic>
                </wp:inline>
              </w:drawing>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441"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drawing>
                <wp:inline distT="0" distB="0" distL="0" distR="0">
                  <wp:extent cx="161925" cy="161925"/>
                  <wp:effectExtent l="0" t="0" r="0" b="0"/>
                  <wp:docPr id="5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3" descr=""/>
                          <pic:cNvPicPr>
                            <a:picLocks noChangeAspect="1" noChangeArrowheads="1"/>
                          </pic:cNvPicPr>
                        </pic:nvPicPr>
                        <pic:blipFill>
                          <a:blip r:embed="rId51"/>
                          <a:stretch>
                            <a:fillRect/>
                          </a:stretch>
                        </pic:blipFill>
                        <pic:spPr bwMode="auto">
                          <a:xfrm>
                            <a:off x="0" y="0"/>
                            <a:ext cx="161925" cy="161925"/>
                          </a:xfrm>
                          <a:prstGeom prst="rect">
                            <a:avLst/>
                          </a:prstGeom>
                        </pic:spPr>
                      </pic:pic>
                    </a:graphicData>
                  </a:graphic>
                </wp:inline>
              </w:drawing>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201"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122"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27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drawing>
                <wp:inline distT="0" distB="0" distL="0" distR="0">
                  <wp:extent cx="161925" cy="161925"/>
                  <wp:effectExtent l="0" t="0" r="0" b="0"/>
                  <wp:docPr id="59"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4" descr=""/>
                          <pic:cNvPicPr>
                            <a:picLocks noChangeAspect="1" noChangeArrowheads="1"/>
                          </pic:cNvPicPr>
                        </pic:nvPicPr>
                        <pic:blipFill>
                          <a:blip r:embed="rId52"/>
                          <a:stretch>
                            <a:fillRect/>
                          </a:stretch>
                        </pic:blipFill>
                        <pic:spPr bwMode="auto">
                          <a:xfrm>
                            <a:off x="0" y="0"/>
                            <a:ext cx="161925" cy="161925"/>
                          </a:xfrm>
                          <a:prstGeom prst="rect">
                            <a:avLst/>
                          </a:prstGeom>
                        </pic:spPr>
                      </pic:pic>
                    </a:graphicData>
                  </a:graphic>
                </wp:inline>
              </w:drawing>
            </w:r>
          </w:p>
        </w:tc>
        <w:tc>
          <w:tcPr>
            <w:tcW w:w="189"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128" w:type="dxa"/>
            <w:tcBorders>
              <w:bottom w:val="single" w:sz="4" w:space="0" w:color="000000"/>
            </w:tcBorders>
            <w:tcMar>
              <w:top w:w="0" w:type="dxa"/>
              <w:left w:w="0" w:type="dxa"/>
              <w:right w:w="0" w:type="dxa"/>
            </w:tcMar>
            <w:vAlign w:val="center"/>
          </w:tcPr>
          <w:p>
            <w:pPr>
              <w:pStyle w:val="TableContents"/>
              <w:bidi w:val="0"/>
              <w:spacing w:before="40" w:after="40"/>
              <w:ind w:left="0" w:right="0" w:firstLine="60"/>
              <w:jc w:val="center"/>
              <w:rPr>
                <w:rFonts w:ascii="Montserrat;sans-serif" w:hAnsi="Montserrat;sans-serif"/>
                <w:color w:val="000000"/>
                <w:sz w:val="17"/>
              </w:rPr>
            </w:pPr>
            <w:r>
              <w:rPr>
                <w:rFonts w:ascii="Montserrat;sans-serif" w:hAnsi="Montserrat;sans-serif"/>
                <w:color w:val="000000"/>
                <w:sz w:val="17"/>
              </w:rPr>
              <w:t>2020</w:t>
            </w:r>
          </w:p>
        </w:tc>
      </w:tr>
      <w:tr>
        <w:trPr/>
        <w:tc>
          <w:tcPr>
            <w:tcW w:w="1410" w:type="dxa"/>
            <w:tcBorders>
              <w:bottom w:val="single" w:sz="4" w:space="0" w:color="000000"/>
            </w:tcBorders>
            <w:tcMar>
              <w:top w:w="0" w:type="dxa"/>
              <w:left w:w="0" w:type="dxa"/>
              <w:right w:w="0" w:type="dxa"/>
            </w:tcMar>
            <w:vAlign w:val="center"/>
          </w:tcPr>
          <w:p>
            <w:pPr>
              <w:pStyle w:val="TableContents"/>
              <w:bidi w:val="0"/>
              <w:spacing w:before="40" w:after="40"/>
              <w:ind w:left="60" w:right="0" w:firstLine="6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Virginia Gambale</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40" w:after="40"/>
              <w:jc w:val="center"/>
              <w:rPr>
                <w:rFonts w:ascii="Montserrat;sans-serif" w:hAnsi="Montserrat;sans-serif"/>
                <w:color w:val="000000"/>
                <w:sz w:val="17"/>
              </w:rPr>
            </w:pPr>
            <w:r>
              <w:rPr>
                <w:rFonts w:ascii="Montserrat;sans-serif" w:hAnsi="Montserrat;sans-serif"/>
                <w:color w:val="000000"/>
                <w:sz w:val="17"/>
              </w:rPr>
              <w:t>67</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09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441"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201"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drawing>
                <wp:inline distT="0" distB="0" distL="0" distR="0">
                  <wp:extent cx="161925" cy="161925"/>
                  <wp:effectExtent l="0" t="0" r="0" b="0"/>
                  <wp:docPr id="60"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5" descr=""/>
                          <pic:cNvPicPr>
                            <a:picLocks noChangeAspect="1" noChangeArrowheads="1"/>
                          </pic:cNvPicPr>
                        </pic:nvPicPr>
                        <pic:blipFill>
                          <a:blip r:embed="rId53"/>
                          <a:stretch>
                            <a:fillRect/>
                          </a:stretch>
                        </pic:blipFill>
                        <pic:spPr bwMode="auto">
                          <a:xfrm>
                            <a:off x="0" y="0"/>
                            <a:ext cx="161925" cy="161925"/>
                          </a:xfrm>
                          <a:prstGeom prst="rect">
                            <a:avLst/>
                          </a:prstGeom>
                        </pic:spPr>
                      </pic:pic>
                    </a:graphicData>
                  </a:graphic>
                </wp:inline>
              </w:drawing>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122"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27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drawing>
                <wp:inline distT="0" distB="0" distL="0" distR="0">
                  <wp:extent cx="161925" cy="161925"/>
                  <wp:effectExtent l="0" t="0" r="0" b="0"/>
                  <wp:docPr id="61"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6" descr=""/>
                          <pic:cNvPicPr>
                            <a:picLocks noChangeAspect="1" noChangeArrowheads="1"/>
                          </pic:cNvPicPr>
                        </pic:nvPicPr>
                        <pic:blipFill>
                          <a:blip r:embed="rId54"/>
                          <a:stretch>
                            <a:fillRect/>
                          </a:stretch>
                        </pic:blipFill>
                        <pic:spPr bwMode="auto">
                          <a:xfrm>
                            <a:off x="0" y="0"/>
                            <a:ext cx="161925" cy="161925"/>
                          </a:xfrm>
                          <a:prstGeom prst="rect">
                            <a:avLst/>
                          </a:prstGeom>
                        </pic:spPr>
                      </pic:pic>
                    </a:graphicData>
                  </a:graphic>
                </wp:inline>
              </w:drawing>
            </w:r>
          </w:p>
        </w:tc>
        <w:tc>
          <w:tcPr>
            <w:tcW w:w="189"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128" w:type="dxa"/>
            <w:tcBorders>
              <w:bottom w:val="single" w:sz="4" w:space="0" w:color="000000"/>
            </w:tcBorders>
            <w:tcMar>
              <w:top w:w="0" w:type="dxa"/>
              <w:left w:w="0" w:type="dxa"/>
              <w:right w:w="0" w:type="dxa"/>
            </w:tcMar>
            <w:vAlign w:val="center"/>
          </w:tcPr>
          <w:p>
            <w:pPr>
              <w:pStyle w:val="TableContents"/>
              <w:bidi w:val="0"/>
              <w:spacing w:before="40" w:after="40"/>
              <w:ind w:left="0" w:right="0" w:firstLine="60"/>
              <w:jc w:val="center"/>
              <w:rPr>
                <w:rFonts w:ascii="Montserrat;sans-serif" w:hAnsi="Montserrat;sans-serif"/>
                <w:color w:val="000000"/>
                <w:sz w:val="17"/>
              </w:rPr>
            </w:pPr>
            <w:r>
              <w:rPr>
                <w:rFonts w:ascii="Montserrat;sans-serif" w:hAnsi="Montserrat;sans-serif"/>
                <w:color w:val="000000"/>
                <w:sz w:val="17"/>
              </w:rPr>
              <w:t>2020</w:t>
            </w:r>
          </w:p>
        </w:tc>
      </w:tr>
      <w:tr>
        <w:trPr/>
        <w:tc>
          <w:tcPr>
            <w:tcW w:w="1410" w:type="dxa"/>
            <w:tcBorders>
              <w:bottom w:val="single" w:sz="4" w:space="0" w:color="000000"/>
            </w:tcBorders>
            <w:tcMar>
              <w:top w:w="0" w:type="dxa"/>
              <w:left w:w="0" w:type="dxa"/>
              <w:right w:w="0" w:type="dxa"/>
            </w:tcMar>
            <w:vAlign w:val="center"/>
          </w:tcPr>
          <w:p>
            <w:pPr>
              <w:pStyle w:val="TableContents"/>
              <w:bidi w:val="0"/>
              <w:spacing w:before="40" w:after="40"/>
              <w:ind w:left="60" w:right="0" w:firstLine="6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Steven J. Gomo</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40" w:after="40"/>
              <w:jc w:val="center"/>
              <w:rPr>
                <w:rFonts w:ascii="Montserrat;sans-serif" w:hAnsi="Montserrat;sans-serif"/>
                <w:color w:val="000000"/>
                <w:sz w:val="17"/>
              </w:rPr>
            </w:pPr>
            <w:r>
              <w:rPr>
                <w:rFonts w:ascii="Montserrat;sans-serif" w:hAnsi="Montserrat;sans-serif"/>
                <w:color w:val="000000"/>
                <w:sz w:val="17"/>
              </w:rPr>
              <w:t>74</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096" w:type="dxa"/>
            <w:tcBorders>
              <w:bottom w:val="single" w:sz="4" w:space="0" w:color="000000"/>
            </w:tcBorders>
            <w:tcMar>
              <w:top w:w="0" w:type="dxa"/>
              <w:left w:w="0" w:type="dxa"/>
              <w:right w:w="0" w:type="dxa"/>
            </w:tcMar>
            <w:vAlign w:val="center"/>
          </w:tcPr>
          <w:p>
            <w:pPr>
              <w:pStyle w:val="TableContents"/>
              <w:bidi w:val="0"/>
              <w:spacing w:before="60" w:after="60"/>
              <w:jc w:val="center"/>
              <w:rPr/>
            </w:pPr>
            <w:r>
              <w:rPr/>
              <w:drawing>
                <wp:inline distT="0" distB="0" distL="0" distR="0">
                  <wp:extent cx="161925" cy="161925"/>
                  <wp:effectExtent l="0" t="0" r="0" b="0"/>
                  <wp:docPr id="62"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7" descr=""/>
                          <pic:cNvPicPr>
                            <a:picLocks noChangeAspect="1" noChangeArrowheads="1"/>
                          </pic:cNvPicPr>
                        </pic:nvPicPr>
                        <pic:blipFill>
                          <a:blip r:embed="rId55"/>
                          <a:stretch>
                            <a:fillRect/>
                          </a:stretch>
                        </pic:blipFill>
                        <pic:spPr bwMode="auto">
                          <a:xfrm>
                            <a:off x="0" y="0"/>
                            <a:ext cx="161925" cy="161925"/>
                          </a:xfrm>
                          <a:prstGeom prst="rect">
                            <a:avLst/>
                          </a:prstGeom>
                        </pic:spPr>
                      </pic:pic>
                    </a:graphicData>
                  </a:graphic>
                </wp:inline>
              </w:drawing>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441"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201"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drawing>
                <wp:inline distT="0" distB="0" distL="0" distR="0">
                  <wp:extent cx="161925" cy="161925"/>
                  <wp:effectExtent l="0" t="0" r="0" b="0"/>
                  <wp:docPr id="63"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8" descr=""/>
                          <pic:cNvPicPr>
                            <a:picLocks noChangeAspect="1" noChangeArrowheads="1"/>
                          </pic:cNvPicPr>
                        </pic:nvPicPr>
                        <pic:blipFill>
                          <a:blip r:embed="rId56"/>
                          <a:stretch>
                            <a:fillRect/>
                          </a:stretch>
                        </pic:blipFill>
                        <pic:spPr bwMode="auto">
                          <a:xfrm>
                            <a:off x="0" y="0"/>
                            <a:ext cx="161925" cy="161925"/>
                          </a:xfrm>
                          <a:prstGeom prst="rect">
                            <a:avLst/>
                          </a:prstGeom>
                        </pic:spPr>
                      </pic:pic>
                    </a:graphicData>
                  </a:graphic>
                </wp:inline>
              </w:drawing>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122"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27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drawing>
                <wp:inline distT="0" distB="0" distL="0" distR="0">
                  <wp:extent cx="161925" cy="161925"/>
                  <wp:effectExtent l="0" t="0" r="0" b="0"/>
                  <wp:docPr id="64"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9" descr=""/>
                          <pic:cNvPicPr>
                            <a:picLocks noChangeAspect="1" noChangeArrowheads="1"/>
                          </pic:cNvPicPr>
                        </pic:nvPicPr>
                        <pic:blipFill>
                          <a:blip r:embed="rId57"/>
                          <a:stretch>
                            <a:fillRect/>
                          </a:stretch>
                        </pic:blipFill>
                        <pic:spPr bwMode="auto">
                          <a:xfrm>
                            <a:off x="0" y="0"/>
                            <a:ext cx="161925" cy="161925"/>
                          </a:xfrm>
                          <a:prstGeom prst="rect">
                            <a:avLst/>
                          </a:prstGeom>
                        </pic:spPr>
                      </pic:pic>
                    </a:graphicData>
                  </a:graphic>
                </wp:inline>
              </w:drawing>
            </w:r>
          </w:p>
        </w:tc>
        <w:tc>
          <w:tcPr>
            <w:tcW w:w="189"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128" w:type="dxa"/>
            <w:tcBorders>
              <w:bottom w:val="single" w:sz="4" w:space="0" w:color="000000"/>
            </w:tcBorders>
            <w:tcMar>
              <w:top w:w="0" w:type="dxa"/>
              <w:left w:w="0" w:type="dxa"/>
              <w:right w:w="0" w:type="dxa"/>
            </w:tcMar>
            <w:vAlign w:val="center"/>
          </w:tcPr>
          <w:p>
            <w:pPr>
              <w:pStyle w:val="TableContents"/>
              <w:bidi w:val="0"/>
              <w:spacing w:before="40" w:after="40"/>
              <w:ind w:left="0" w:right="0" w:firstLine="60"/>
              <w:jc w:val="center"/>
              <w:rPr>
                <w:rFonts w:ascii="Montserrat;sans-serif" w:hAnsi="Montserrat;sans-serif"/>
                <w:color w:val="000000"/>
                <w:sz w:val="17"/>
              </w:rPr>
            </w:pPr>
            <w:r>
              <w:rPr>
                <w:rFonts w:ascii="Montserrat;sans-serif" w:hAnsi="Montserrat;sans-serif"/>
                <w:color w:val="000000"/>
                <w:sz w:val="17"/>
              </w:rPr>
              <w:t>2015</w:t>
            </w:r>
          </w:p>
        </w:tc>
      </w:tr>
      <w:tr>
        <w:trPr/>
        <w:tc>
          <w:tcPr>
            <w:tcW w:w="1410" w:type="dxa"/>
            <w:tcBorders>
              <w:bottom w:val="single" w:sz="4" w:space="0" w:color="000000"/>
            </w:tcBorders>
            <w:tcMar>
              <w:top w:w="0" w:type="dxa"/>
              <w:left w:w="0" w:type="dxa"/>
              <w:right w:w="0" w:type="dxa"/>
            </w:tcMar>
            <w:vAlign w:val="center"/>
          </w:tcPr>
          <w:p>
            <w:pPr>
              <w:pStyle w:val="TableContents"/>
              <w:bidi w:val="0"/>
              <w:spacing w:before="40" w:after="40"/>
              <w:ind w:left="60" w:right="0" w:firstLine="6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Greg Lavender</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40" w:after="40"/>
              <w:jc w:val="center"/>
              <w:rPr>
                <w:rFonts w:ascii="Montserrat;sans-serif" w:hAnsi="Montserrat;sans-serif"/>
                <w:color w:val="000000"/>
                <w:sz w:val="17"/>
              </w:rPr>
            </w:pPr>
            <w:r>
              <w:rPr>
                <w:rFonts w:ascii="Montserrat;sans-serif" w:hAnsi="Montserrat;sans-serif"/>
                <w:color w:val="000000"/>
                <w:sz w:val="17"/>
              </w:rPr>
              <w:t>66</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09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441"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201"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122" w:type="dxa"/>
            <w:tcBorders>
              <w:bottom w:val="single" w:sz="4" w:space="0" w:color="000000"/>
            </w:tcBorders>
            <w:tcMar>
              <w:top w:w="0" w:type="dxa"/>
              <w:left w:w="0" w:type="dxa"/>
              <w:right w:w="0" w:type="dxa"/>
            </w:tcMar>
            <w:vAlign w:val="center"/>
          </w:tcPr>
          <w:p>
            <w:pPr>
              <w:pStyle w:val="TableContents"/>
              <w:bidi w:val="0"/>
              <w:spacing w:before="60" w:after="60"/>
              <w:jc w:val="center"/>
              <w:rPr/>
            </w:pPr>
            <w:r>
              <w:rPr/>
              <w:drawing>
                <wp:inline distT="0" distB="0" distL="0" distR="0">
                  <wp:extent cx="161925" cy="161925"/>
                  <wp:effectExtent l="0" t="0" r="0" b="0"/>
                  <wp:docPr id="65"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0" descr=""/>
                          <pic:cNvPicPr>
                            <a:picLocks noChangeAspect="1" noChangeArrowheads="1"/>
                          </pic:cNvPicPr>
                        </pic:nvPicPr>
                        <pic:blipFill>
                          <a:blip r:embed="rId58"/>
                          <a:stretch>
                            <a:fillRect/>
                          </a:stretch>
                        </pic:blipFill>
                        <pic:spPr bwMode="auto">
                          <a:xfrm>
                            <a:off x="0" y="0"/>
                            <a:ext cx="161925" cy="161925"/>
                          </a:xfrm>
                          <a:prstGeom prst="rect">
                            <a:avLst/>
                          </a:prstGeom>
                        </pic:spPr>
                      </pic:pic>
                    </a:graphicData>
                  </a:graphic>
                </wp:inline>
              </w:drawing>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27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drawing>
                <wp:inline distT="0" distB="0" distL="0" distR="0">
                  <wp:extent cx="161925" cy="161925"/>
                  <wp:effectExtent l="0" t="0" r="0" b="0"/>
                  <wp:docPr id="66"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1" descr=""/>
                          <pic:cNvPicPr>
                            <a:picLocks noChangeAspect="1" noChangeArrowheads="1"/>
                          </pic:cNvPicPr>
                        </pic:nvPicPr>
                        <pic:blipFill>
                          <a:blip r:embed="rId59"/>
                          <a:stretch>
                            <a:fillRect/>
                          </a:stretch>
                        </pic:blipFill>
                        <pic:spPr bwMode="auto">
                          <a:xfrm>
                            <a:off x="0" y="0"/>
                            <a:ext cx="161925" cy="161925"/>
                          </a:xfrm>
                          <a:prstGeom prst="rect">
                            <a:avLst/>
                          </a:prstGeom>
                        </pic:spPr>
                      </pic:pic>
                    </a:graphicData>
                  </a:graphic>
                </wp:inline>
              </w:drawing>
            </w:r>
          </w:p>
        </w:tc>
        <w:tc>
          <w:tcPr>
            <w:tcW w:w="189"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128" w:type="dxa"/>
            <w:tcBorders>
              <w:bottom w:val="single" w:sz="4" w:space="0" w:color="000000"/>
            </w:tcBorders>
            <w:tcMar>
              <w:top w:w="0" w:type="dxa"/>
              <w:left w:w="0" w:type="dxa"/>
              <w:right w:w="0" w:type="dxa"/>
            </w:tcMar>
            <w:vAlign w:val="center"/>
          </w:tcPr>
          <w:p>
            <w:pPr>
              <w:pStyle w:val="TableContents"/>
              <w:bidi w:val="0"/>
              <w:spacing w:before="40" w:after="40"/>
              <w:ind w:left="0" w:right="0" w:firstLine="60"/>
              <w:jc w:val="center"/>
              <w:rPr>
                <w:rFonts w:ascii="Montserrat;sans-serif" w:hAnsi="Montserrat;sans-serif"/>
                <w:color w:val="000000"/>
                <w:sz w:val="17"/>
              </w:rPr>
            </w:pPr>
            <w:r>
              <w:rPr>
                <w:rFonts w:ascii="Montserrat;sans-serif" w:hAnsi="Montserrat;sans-serif"/>
                <w:color w:val="000000"/>
                <w:sz w:val="17"/>
              </w:rPr>
              <w:t>2025</w:t>
            </w:r>
          </w:p>
        </w:tc>
      </w:tr>
      <w:tr>
        <w:trPr/>
        <w:tc>
          <w:tcPr>
            <w:tcW w:w="1410" w:type="dxa"/>
            <w:tcBorders>
              <w:bottom w:val="single" w:sz="4" w:space="0" w:color="000000"/>
            </w:tcBorders>
            <w:tcMar>
              <w:top w:w="0" w:type="dxa"/>
              <w:left w:w="0" w:type="dxa"/>
              <w:right w:w="0" w:type="dxa"/>
            </w:tcMar>
            <w:vAlign w:val="center"/>
          </w:tcPr>
          <w:p>
            <w:pPr>
              <w:pStyle w:val="TableContents"/>
              <w:bidi w:val="0"/>
              <w:spacing w:before="40" w:after="40"/>
              <w:ind w:left="60" w:right="0" w:firstLine="6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Rajiv Ramaswami</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40" w:after="40"/>
              <w:jc w:val="center"/>
              <w:rPr>
                <w:rFonts w:ascii="Montserrat;sans-serif" w:hAnsi="Montserrat;sans-serif"/>
                <w:color w:val="000000"/>
                <w:sz w:val="17"/>
              </w:rPr>
            </w:pPr>
            <w:r>
              <w:rPr>
                <w:rFonts w:ascii="Montserrat;sans-serif" w:hAnsi="Montserrat;sans-serif"/>
                <w:color w:val="000000"/>
                <w:sz w:val="17"/>
              </w:rPr>
              <w:t>60</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09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441"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201"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122"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27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89"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128" w:type="dxa"/>
            <w:tcBorders>
              <w:bottom w:val="single" w:sz="4" w:space="0" w:color="000000"/>
            </w:tcBorders>
            <w:tcMar>
              <w:top w:w="0" w:type="dxa"/>
              <w:left w:w="0" w:type="dxa"/>
              <w:right w:w="0" w:type="dxa"/>
            </w:tcMar>
            <w:vAlign w:val="center"/>
          </w:tcPr>
          <w:p>
            <w:pPr>
              <w:pStyle w:val="TableContents"/>
              <w:bidi w:val="0"/>
              <w:spacing w:before="40" w:after="40"/>
              <w:ind w:left="0" w:right="0" w:firstLine="60"/>
              <w:jc w:val="center"/>
              <w:rPr>
                <w:rFonts w:ascii="Montserrat;sans-serif" w:hAnsi="Montserrat;sans-serif"/>
                <w:color w:val="000000"/>
                <w:sz w:val="17"/>
              </w:rPr>
            </w:pPr>
            <w:r>
              <w:rPr>
                <w:rFonts w:ascii="Montserrat;sans-serif" w:hAnsi="Montserrat;sans-serif"/>
                <w:color w:val="000000"/>
                <w:sz w:val="17"/>
              </w:rPr>
              <w:t>2020</w:t>
            </w:r>
          </w:p>
        </w:tc>
      </w:tr>
      <w:tr>
        <w:trPr/>
        <w:tc>
          <w:tcPr>
            <w:tcW w:w="1410" w:type="dxa"/>
            <w:tcBorders>
              <w:bottom w:val="single" w:sz="4" w:space="0" w:color="000000"/>
            </w:tcBorders>
            <w:tcMar>
              <w:top w:w="0" w:type="dxa"/>
              <w:left w:w="0" w:type="dxa"/>
              <w:right w:w="0" w:type="dxa"/>
            </w:tcMar>
            <w:vAlign w:val="center"/>
          </w:tcPr>
          <w:p>
            <w:pPr>
              <w:pStyle w:val="TableContents"/>
              <w:bidi w:val="0"/>
              <w:spacing w:before="40" w:after="40"/>
              <w:ind w:left="60" w:right="0" w:firstLine="6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Gayle Sheppard</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40" w:after="40"/>
              <w:jc w:val="center"/>
              <w:rPr>
                <w:rFonts w:ascii="Montserrat;sans-serif" w:hAnsi="Montserrat;sans-serif"/>
                <w:color w:val="000000"/>
                <w:sz w:val="17"/>
              </w:rPr>
            </w:pPr>
            <w:r>
              <w:rPr>
                <w:rFonts w:ascii="Montserrat;sans-serif" w:hAnsi="Montserrat;sans-serif"/>
                <w:color w:val="000000"/>
                <w:sz w:val="17"/>
              </w:rPr>
              <w:t>72</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096" w:type="dxa"/>
            <w:tcBorders>
              <w:bottom w:val="single" w:sz="4" w:space="0" w:color="000000"/>
            </w:tcBorders>
            <w:tcMar>
              <w:top w:w="0" w:type="dxa"/>
              <w:left w:w="0" w:type="dxa"/>
              <w:right w:w="0" w:type="dxa"/>
            </w:tcMar>
            <w:vAlign w:val="center"/>
          </w:tcPr>
          <w:p>
            <w:pPr>
              <w:pStyle w:val="TableContents"/>
              <w:bidi w:val="0"/>
              <w:spacing w:before="60" w:after="60"/>
              <w:jc w:val="center"/>
              <w:rPr/>
            </w:pPr>
            <w:r>
              <w:rPr/>
              <w:drawing>
                <wp:inline distT="0" distB="0" distL="0" distR="0">
                  <wp:extent cx="161925" cy="161925"/>
                  <wp:effectExtent l="0" t="0" r="0" b="0"/>
                  <wp:docPr id="67"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2" descr=""/>
                          <pic:cNvPicPr>
                            <a:picLocks noChangeAspect="1" noChangeArrowheads="1"/>
                          </pic:cNvPicPr>
                        </pic:nvPicPr>
                        <pic:blipFill>
                          <a:blip r:embed="rId60"/>
                          <a:stretch>
                            <a:fillRect/>
                          </a:stretch>
                        </pic:blipFill>
                        <pic:spPr bwMode="auto">
                          <a:xfrm>
                            <a:off x="0" y="0"/>
                            <a:ext cx="161925" cy="161925"/>
                          </a:xfrm>
                          <a:prstGeom prst="rect">
                            <a:avLst/>
                          </a:prstGeom>
                        </pic:spPr>
                      </pic:pic>
                    </a:graphicData>
                  </a:graphic>
                </wp:inline>
              </w:drawing>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441"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201"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122"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drawing>
                <wp:inline distT="0" distB="0" distL="0" distR="0">
                  <wp:extent cx="161925" cy="161925"/>
                  <wp:effectExtent l="0" t="0" r="0" b="0"/>
                  <wp:docPr id="68"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3" descr=""/>
                          <pic:cNvPicPr>
                            <a:picLocks noChangeAspect="1" noChangeArrowheads="1"/>
                          </pic:cNvPicPr>
                        </pic:nvPicPr>
                        <pic:blipFill>
                          <a:blip r:embed="rId61"/>
                          <a:stretch>
                            <a:fillRect/>
                          </a:stretch>
                        </pic:blipFill>
                        <pic:spPr bwMode="auto">
                          <a:xfrm>
                            <a:off x="0" y="0"/>
                            <a:ext cx="161925" cy="161925"/>
                          </a:xfrm>
                          <a:prstGeom prst="rect">
                            <a:avLst/>
                          </a:prstGeom>
                        </pic:spPr>
                      </pic:pic>
                    </a:graphicData>
                  </a:graphic>
                </wp:inline>
              </w:drawing>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27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drawing>
                <wp:inline distT="0" distB="0" distL="0" distR="0">
                  <wp:extent cx="161925" cy="161925"/>
                  <wp:effectExtent l="0" t="0" r="0" b="0"/>
                  <wp:docPr id="69"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4" descr=""/>
                          <pic:cNvPicPr>
                            <a:picLocks noChangeAspect="1" noChangeArrowheads="1"/>
                          </pic:cNvPicPr>
                        </pic:nvPicPr>
                        <pic:blipFill>
                          <a:blip r:embed="rId62"/>
                          <a:stretch>
                            <a:fillRect/>
                          </a:stretch>
                        </pic:blipFill>
                        <pic:spPr bwMode="auto">
                          <a:xfrm>
                            <a:off x="0" y="0"/>
                            <a:ext cx="161925" cy="161925"/>
                          </a:xfrm>
                          <a:prstGeom prst="rect">
                            <a:avLst/>
                          </a:prstGeom>
                        </pic:spPr>
                      </pic:pic>
                    </a:graphicData>
                  </a:graphic>
                </wp:inline>
              </w:drawing>
            </w:r>
          </w:p>
        </w:tc>
        <w:tc>
          <w:tcPr>
            <w:tcW w:w="189"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128" w:type="dxa"/>
            <w:tcBorders>
              <w:bottom w:val="single" w:sz="4" w:space="0" w:color="000000"/>
            </w:tcBorders>
            <w:tcMar>
              <w:top w:w="0" w:type="dxa"/>
              <w:left w:w="0" w:type="dxa"/>
              <w:right w:w="0" w:type="dxa"/>
            </w:tcMar>
            <w:vAlign w:val="center"/>
          </w:tcPr>
          <w:p>
            <w:pPr>
              <w:pStyle w:val="TableContents"/>
              <w:bidi w:val="0"/>
              <w:spacing w:before="40" w:after="40"/>
              <w:ind w:left="0" w:right="0" w:firstLine="60"/>
              <w:jc w:val="center"/>
              <w:rPr>
                <w:rFonts w:ascii="Montserrat;sans-serif" w:hAnsi="Montserrat;sans-serif"/>
                <w:color w:val="000000"/>
                <w:sz w:val="17"/>
              </w:rPr>
            </w:pPr>
            <w:r>
              <w:rPr>
                <w:rFonts w:ascii="Montserrat;sans-serif" w:hAnsi="Montserrat;sans-serif"/>
                <w:color w:val="000000"/>
                <w:sz w:val="17"/>
              </w:rPr>
              <w:t>2022</w:t>
            </w:r>
          </w:p>
        </w:tc>
      </w:tr>
      <w:tr>
        <w:trPr/>
        <w:tc>
          <w:tcPr>
            <w:tcW w:w="1410" w:type="dxa"/>
            <w:tcBorders>
              <w:bottom w:val="single" w:sz="4" w:space="0" w:color="7855FA"/>
            </w:tcBorders>
            <w:tcMar>
              <w:top w:w="0" w:type="dxa"/>
              <w:left w:w="0" w:type="dxa"/>
              <w:right w:w="0" w:type="dxa"/>
            </w:tcMar>
            <w:vAlign w:val="center"/>
          </w:tcPr>
          <w:p>
            <w:pPr>
              <w:pStyle w:val="TableContents"/>
              <w:bidi w:val="0"/>
              <w:spacing w:before="40" w:after="40"/>
              <w:ind w:left="60" w:right="0" w:firstLine="6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Mark Templeton</w:t>
            </w:r>
          </w:p>
        </w:tc>
        <w:tc>
          <w:tcPr>
            <w:tcW w:w="146" w:type="dxa"/>
            <w:tcBorders>
              <w:bottom w:val="single" w:sz="4" w:space="0" w:color="7855FA"/>
            </w:tcBorders>
            <w:tcMar>
              <w:top w:w="0" w:type="dxa"/>
              <w:left w:w="0" w:type="dxa"/>
              <w:right w:w="0" w:type="dxa"/>
            </w:tcMar>
            <w:vAlign w:val="center"/>
          </w:tcPr>
          <w:p>
            <w:pPr>
              <w:pStyle w:val="TableContents"/>
              <w:bidi w:val="0"/>
              <w:spacing w:before="40" w:after="40"/>
              <w:jc w:val="left"/>
              <w:rPr/>
            </w:pPr>
            <w:r>
              <w:rPr/>
              <w:t> </w:t>
            </w:r>
          </w:p>
        </w:tc>
        <w:tc>
          <w:tcPr>
            <w:tcW w:w="466" w:type="dxa"/>
            <w:tcBorders>
              <w:bottom w:val="single" w:sz="4" w:space="0" w:color="7855FA"/>
            </w:tcBorders>
            <w:tcMar>
              <w:top w:w="0" w:type="dxa"/>
              <w:left w:w="0" w:type="dxa"/>
              <w:right w:w="0" w:type="dxa"/>
            </w:tcMar>
            <w:vAlign w:val="center"/>
          </w:tcPr>
          <w:p>
            <w:pPr>
              <w:pStyle w:val="TableContents"/>
              <w:bidi w:val="0"/>
              <w:spacing w:before="40" w:after="40"/>
              <w:jc w:val="center"/>
              <w:rPr>
                <w:rFonts w:ascii="Montserrat;sans-serif" w:hAnsi="Montserrat;sans-serif"/>
                <w:color w:val="000000"/>
                <w:sz w:val="17"/>
              </w:rPr>
            </w:pPr>
            <w:r>
              <w:rPr>
                <w:rFonts w:ascii="Montserrat;sans-serif" w:hAnsi="Montserrat;sans-serif"/>
                <w:color w:val="000000"/>
                <w:sz w:val="17"/>
              </w:rPr>
              <w:t>74</w:t>
            </w:r>
          </w:p>
        </w:tc>
        <w:tc>
          <w:tcPr>
            <w:tcW w:w="146" w:type="dxa"/>
            <w:tcBorders>
              <w:bottom w:val="single" w:sz="4" w:space="0" w:color="7855FA"/>
            </w:tcBorders>
            <w:tcMar>
              <w:top w:w="0" w:type="dxa"/>
              <w:left w:w="0" w:type="dxa"/>
              <w:right w:w="0" w:type="dxa"/>
            </w:tcMar>
            <w:vAlign w:val="center"/>
          </w:tcPr>
          <w:p>
            <w:pPr>
              <w:pStyle w:val="TableContents"/>
              <w:bidi w:val="0"/>
              <w:spacing w:before="40" w:after="40"/>
              <w:jc w:val="center"/>
              <w:rPr/>
            </w:pPr>
            <w:r>
              <w:rPr/>
              <w:t> </w:t>
            </w:r>
          </w:p>
        </w:tc>
        <w:tc>
          <w:tcPr>
            <w:tcW w:w="1096" w:type="dxa"/>
            <w:tcBorders>
              <w:bottom w:val="single" w:sz="4" w:space="0" w:color="7855FA"/>
            </w:tcBorders>
            <w:tcMar>
              <w:top w:w="0" w:type="dxa"/>
              <w:left w:w="0" w:type="dxa"/>
              <w:right w:w="0" w:type="dxa"/>
            </w:tcMar>
            <w:vAlign w:val="center"/>
          </w:tcPr>
          <w:p>
            <w:pPr>
              <w:pStyle w:val="TableContents"/>
              <w:bidi w:val="0"/>
              <w:spacing w:before="40" w:after="40"/>
              <w:jc w:val="center"/>
              <w:rPr/>
            </w:pPr>
            <w:r>
              <w:rPr/>
              <w:t> </w:t>
            </w:r>
          </w:p>
        </w:tc>
        <w:tc>
          <w:tcPr>
            <w:tcW w:w="146" w:type="dxa"/>
            <w:tcBorders>
              <w:bottom w:val="single" w:sz="4" w:space="0" w:color="7855FA"/>
            </w:tcBorders>
            <w:tcMar>
              <w:top w:w="0" w:type="dxa"/>
              <w:left w:w="0" w:type="dxa"/>
              <w:right w:w="0" w:type="dxa"/>
            </w:tcMar>
            <w:vAlign w:val="center"/>
          </w:tcPr>
          <w:p>
            <w:pPr>
              <w:pStyle w:val="TableContents"/>
              <w:bidi w:val="0"/>
              <w:spacing w:before="40" w:after="40"/>
              <w:jc w:val="center"/>
              <w:rPr/>
            </w:pPr>
            <w:r>
              <w:rPr/>
              <w:t> </w:t>
            </w:r>
          </w:p>
        </w:tc>
        <w:tc>
          <w:tcPr>
            <w:tcW w:w="1441" w:type="dxa"/>
            <w:tcBorders>
              <w:bottom w:val="single" w:sz="4" w:space="0" w:color="7855FA"/>
            </w:tcBorders>
            <w:tcMar>
              <w:top w:w="0" w:type="dxa"/>
              <w:left w:w="0" w:type="dxa"/>
              <w:right w:w="0" w:type="dxa"/>
            </w:tcMar>
            <w:vAlign w:val="center"/>
          </w:tcPr>
          <w:p>
            <w:pPr>
              <w:pStyle w:val="TableContents"/>
              <w:bidi w:val="0"/>
              <w:spacing w:before="40" w:after="40"/>
              <w:jc w:val="center"/>
              <w:rPr/>
            </w:pPr>
            <w:r>
              <w:rPr/>
              <w:drawing>
                <wp:inline distT="0" distB="0" distL="0" distR="0">
                  <wp:extent cx="161925" cy="161925"/>
                  <wp:effectExtent l="0" t="0" r="0" b="0"/>
                  <wp:docPr id="70"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5" descr=""/>
                          <pic:cNvPicPr>
                            <a:picLocks noChangeAspect="1" noChangeArrowheads="1"/>
                          </pic:cNvPicPr>
                        </pic:nvPicPr>
                        <pic:blipFill>
                          <a:blip r:embed="rId63"/>
                          <a:stretch>
                            <a:fillRect/>
                          </a:stretch>
                        </pic:blipFill>
                        <pic:spPr bwMode="auto">
                          <a:xfrm>
                            <a:off x="0" y="0"/>
                            <a:ext cx="161925" cy="161925"/>
                          </a:xfrm>
                          <a:prstGeom prst="rect">
                            <a:avLst/>
                          </a:prstGeom>
                        </pic:spPr>
                      </pic:pic>
                    </a:graphicData>
                  </a:graphic>
                </wp:inline>
              </w:drawing>
            </w:r>
          </w:p>
        </w:tc>
        <w:tc>
          <w:tcPr>
            <w:tcW w:w="146" w:type="dxa"/>
            <w:tcBorders>
              <w:bottom w:val="single" w:sz="4" w:space="0" w:color="7855FA"/>
            </w:tcBorders>
            <w:tcMar>
              <w:top w:w="0" w:type="dxa"/>
              <w:left w:w="0" w:type="dxa"/>
              <w:right w:w="0" w:type="dxa"/>
            </w:tcMar>
            <w:vAlign w:val="center"/>
          </w:tcPr>
          <w:p>
            <w:pPr>
              <w:pStyle w:val="TableContents"/>
              <w:bidi w:val="0"/>
              <w:spacing w:before="40" w:after="40"/>
              <w:jc w:val="center"/>
              <w:rPr/>
            </w:pPr>
            <w:r>
              <w:rPr/>
              <w:t> </w:t>
            </w:r>
          </w:p>
        </w:tc>
        <w:tc>
          <w:tcPr>
            <w:tcW w:w="1201" w:type="dxa"/>
            <w:tcBorders>
              <w:bottom w:val="single" w:sz="4" w:space="0" w:color="7855FA"/>
            </w:tcBorders>
            <w:tcMar>
              <w:top w:w="0" w:type="dxa"/>
              <w:left w:w="0" w:type="dxa"/>
              <w:right w:w="0" w:type="dxa"/>
            </w:tcMar>
            <w:vAlign w:val="center"/>
          </w:tcPr>
          <w:p>
            <w:pPr>
              <w:pStyle w:val="TableContents"/>
              <w:bidi w:val="0"/>
              <w:spacing w:before="40" w:after="40"/>
              <w:jc w:val="center"/>
              <w:rPr/>
            </w:pPr>
            <w:r>
              <w:rPr/>
              <w:t> </w:t>
            </w:r>
          </w:p>
        </w:tc>
        <w:tc>
          <w:tcPr>
            <w:tcW w:w="146" w:type="dxa"/>
            <w:tcBorders>
              <w:bottom w:val="single" w:sz="4" w:space="0" w:color="7855FA"/>
            </w:tcBorders>
            <w:tcMar>
              <w:top w:w="0" w:type="dxa"/>
              <w:left w:w="0" w:type="dxa"/>
              <w:right w:w="0" w:type="dxa"/>
            </w:tcMar>
            <w:vAlign w:val="center"/>
          </w:tcPr>
          <w:p>
            <w:pPr>
              <w:pStyle w:val="TableContents"/>
              <w:bidi w:val="0"/>
              <w:spacing w:before="40" w:after="40"/>
              <w:jc w:val="center"/>
              <w:rPr/>
            </w:pPr>
            <w:r>
              <w:rPr/>
              <w:t> </w:t>
            </w:r>
          </w:p>
        </w:tc>
        <w:tc>
          <w:tcPr>
            <w:tcW w:w="1122" w:type="dxa"/>
            <w:tcBorders>
              <w:bottom w:val="single" w:sz="4" w:space="0" w:color="7855FA"/>
            </w:tcBorders>
            <w:tcMar>
              <w:top w:w="0" w:type="dxa"/>
              <w:left w:w="0" w:type="dxa"/>
              <w:right w:w="0" w:type="dxa"/>
            </w:tcMar>
            <w:vAlign w:val="center"/>
          </w:tcPr>
          <w:p>
            <w:pPr>
              <w:pStyle w:val="TableContents"/>
              <w:bidi w:val="0"/>
              <w:spacing w:before="60" w:after="60"/>
              <w:jc w:val="center"/>
              <w:rPr/>
            </w:pPr>
            <w:r>
              <w:rPr/>
              <w:drawing>
                <wp:inline distT="0" distB="0" distL="0" distR="0">
                  <wp:extent cx="161925" cy="161925"/>
                  <wp:effectExtent l="0" t="0" r="0" b="0"/>
                  <wp:docPr id="71"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6" descr=""/>
                          <pic:cNvPicPr>
                            <a:picLocks noChangeAspect="1" noChangeArrowheads="1"/>
                          </pic:cNvPicPr>
                        </pic:nvPicPr>
                        <pic:blipFill>
                          <a:blip r:embed="rId64"/>
                          <a:stretch>
                            <a:fillRect/>
                          </a:stretch>
                        </pic:blipFill>
                        <pic:spPr bwMode="auto">
                          <a:xfrm>
                            <a:off x="0" y="0"/>
                            <a:ext cx="161925" cy="161925"/>
                          </a:xfrm>
                          <a:prstGeom prst="rect">
                            <a:avLst/>
                          </a:prstGeom>
                        </pic:spPr>
                      </pic:pic>
                    </a:graphicData>
                  </a:graphic>
                </wp:inline>
              </w:drawing>
            </w:r>
          </w:p>
        </w:tc>
        <w:tc>
          <w:tcPr>
            <w:tcW w:w="146" w:type="dxa"/>
            <w:tcBorders>
              <w:bottom w:val="single" w:sz="4" w:space="0" w:color="7855FA"/>
            </w:tcBorders>
            <w:tcMar>
              <w:top w:w="0" w:type="dxa"/>
              <w:left w:w="0" w:type="dxa"/>
              <w:right w:w="0" w:type="dxa"/>
            </w:tcMar>
            <w:vAlign w:val="center"/>
          </w:tcPr>
          <w:p>
            <w:pPr>
              <w:pStyle w:val="TableContents"/>
              <w:bidi w:val="0"/>
              <w:spacing w:before="40" w:after="40"/>
              <w:jc w:val="center"/>
              <w:rPr/>
            </w:pPr>
            <w:r>
              <w:rPr/>
              <w:t> </w:t>
            </w:r>
          </w:p>
        </w:tc>
        <w:tc>
          <w:tcPr>
            <w:tcW w:w="1276" w:type="dxa"/>
            <w:tcBorders>
              <w:bottom w:val="single" w:sz="4" w:space="0" w:color="7855FA"/>
            </w:tcBorders>
            <w:tcMar>
              <w:top w:w="0" w:type="dxa"/>
              <w:left w:w="0" w:type="dxa"/>
              <w:right w:w="0" w:type="dxa"/>
            </w:tcMar>
            <w:vAlign w:val="center"/>
          </w:tcPr>
          <w:p>
            <w:pPr>
              <w:pStyle w:val="TableContents"/>
              <w:bidi w:val="0"/>
              <w:spacing w:before="40" w:after="40"/>
              <w:jc w:val="center"/>
              <w:rPr/>
            </w:pPr>
            <w:r>
              <w:rPr/>
              <w:drawing>
                <wp:inline distT="0" distB="0" distL="0" distR="0">
                  <wp:extent cx="161925" cy="161925"/>
                  <wp:effectExtent l="0" t="0" r="0" b="0"/>
                  <wp:docPr id="72"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7" descr=""/>
                          <pic:cNvPicPr>
                            <a:picLocks noChangeAspect="1" noChangeArrowheads="1"/>
                          </pic:cNvPicPr>
                        </pic:nvPicPr>
                        <pic:blipFill>
                          <a:blip r:embed="rId65"/>
                          <a:stretch>
                            <a:fillRect/>
                          </a:stretch>
                        </pic:blipFill>
                        <pic:spPr bwMode="auto">
                          <a:xfrm>
                            <a:off x="0" y="0"/>
                            <a:ext cx="161925" cy="161925"/>
                          </a:xfrm>
                          <a:prstGeom prst="rect">
                            <a:avLst/>
                          </a:prstGeom>
                        </pic:spPr>
                      </pic:pic>
                    </a:graphicData>
                  </a:graphic>
                </wp:inline>
              </w:drawing>
            </w:r>
          </w:p>
        </w:tc>
        <w:tc>
          <w:tcPr>
            <w:tcW w:w="189" w:type="dxa"/>
            <w:tcBorders>
              <w:bottom w:val="single" w:sz="4" w:space="0" w:color="7855FA"/>
            </w:tcBorders>
            <w:tcMar>
              <w:top w:w="0" w:type="dxa"/>
              <w:left w:w="0" w:type="dxa"/>
              <w:right w:w="0" w:type="dxa"/>
            </w:tcMar>
            <w:vAlign w:val="center"/>
          </w:tcPr>
          <w:p>
            <w:pPr>
              <w:pStyle w:val="TableContents"/>
              <w:bidi w:val="0"/>
              <w:spacing w:before="40" w:after="40"/>
              <w:jc w:val="center"/>
              <w:rPr/>
            </w:pPr>
            <w:r>
              <w:rPr/>
              <w:t> </w:t>
            </w:r>
          </w:p>
        </w:tc>
        <w:tc>
          <w:tcPr>
            <w:tcW w:w="1128" w:type="dxa"/>
            <w:tcBorders>
              <w:bottom w:val="single" w:sz="4" w:space="0" w:color="7855FA"/>
            </w:tcBorders>
            <w:tcMar>
              <w:top w:w="0" w:type="dxa"/>
              <w:left w:w="0" w:type="dxa"/>
              <w:right w:w="0" w:type="dxa"/>
            </w:tcMar>
            <w:vAlign w:val="center"/>
          </w:tcPr>
          <w:p>
            <w:pPr>
              <w:pStyle w:val="TableContents"/>
              <w:bidi w:val="0"/>
              <w:spacing w:before="40" w:after="40"/>
              <w:jc w:val="center"/>
              <w:rPr>
                <w:rFonts w:ascii="Montserrat;sans-serif" w:hAnsi="Montserrat;sans-serif"/>
                <w:color w:val="000000"/>
                <w:sz w:val="17"/>
              </w:rPr>
            </w:pPr>
            <w:r>
              <w:rPr>
                <w:rFonts w:ascii="Montserrat;sans-serif" w:hAnsi="Montserrat;sans-serif"/>
                <w:color w:val="000000"/>
                <w:sz w:val="17"/>
              </w:rPr>
              <w:t>2023</w:t>
            </w:r>
          </w:p>
        </w:tc>
      </w:tr>
    </w:tbl>
    <w:p>
      <w:pPr>
        <w:pStyle w:val="TextBody"/>
        <w:bidi w:val="0"/>
        <w:jc w:val="both"/>
        <w:rPr/>
      </w:pPr>
      <w:r>
        <w:rPr/>
        <w:t> </w:t>
      </w:r>
    </w:p>
    <w:tbl>
      <w:tblPr>
        <w:tblW w:w="2004" w:type="dxa"/>
        <w:jc w:val="left"/>
        <w:tblInd w:w="0" w:type="dxa"/>
        <w:tblLayout w:type="fixed"/>
        <w:tblCellMar>
          <w:top w:w="28" w:type="dxa"/>
          <w:left w:w="28" w:type="dxa"/>
          <w:bottom w:w="28" w:type="dxa"/>
          <w:right w:w="28" w:type="dxa"/>
        </w:tblCellMar>
      </w:tblPr>
      <w:tblGrid>
        <w:gridCol w:w="311"/>
        <w:gridCol w:w="556"/>
        <w:gridCol w:w="296"/>
        <w:gridCol w:w="841"/>
      </w:tblGrid>
      <w:tr>
        <w:trPr/>
        <w:tc>
          <w:tcPr>
            <w:tcW w:w="31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311" w:type="dxa"/>
            <w:tcBorders/>
            <w:tcMar>
              <w:top w:w="0" w:type="dxa"/>
              <w:left w:w="0" w:type="dxa"/>
              <w:bottom w:w="0" w:type="dxa"/>
              <w:right w:w="0" w:type="dxa"/>
            </w:tcMar>
            <w:vAlign w:val="center"/>
          </w:tcPr>
          <w:p>
            <w:pPr>
              <w:pStyle w:val="TableContents"/>
              <w:bidi w:val="0"/>
              <w:spacing w:before="40" w:after="40"/>
              <w:jc w:val="center"/>
              <w:rPr/>
            </w:pPr>
            <w:r>
              <w:rPr/>
              <w:drawing>
                <wp:inline distT="0" distB="0" distL="0" distR="0">
                  <wp:extent cx="133350" cy="133350"/>
                  <wp:effectExtent l="0" t="0" r="0" b="0"/>
                  <wp:docPr id="73"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58" descr=""/>
                          <pic:cNvPicPr>
                            <a:picLocks noChangeAspect="1" noChangeArrowheads="1"/>
                          </pic:cNvPicPr>
                        </pic:nvPicPr>
                        <pic:blipFill>
                          <a:blip r:embed="rId66"/>
                          <a:stretch>
                            <a:fillRect/>
                          </a:stretch>
                        </pic:blipFill>
                        <pic:spPr bwMode="auto">
                          <a:xfrm>
                            <a:off x="0" y="0"/>
                            <a:ext cx="133350" cy="133350"/>
                          </a:xfrm>
                          <a:prstGeom prst="rect">
                            <a:avLst/>
                          </a:prstGeom>
                        </pic:spPr>
                      </pic:pic>
                    </a:graphicData>
                  </a:graphic>
                </wp:inline>
              </w:drawing>
            </w:r>
          </w:p>
        </w:tc>
        <w:tc>
          <w:tcPr>
            <w:tcW w:w="556" w:type="dxa"/>
            <w:tcBorders/>
            <w:tcMar>
              <w:top w:w="0" w:type="dxa"/>
              <w:left w:w="0" w:type="dxa"/>
              <w:bottom w:w="0" w:type="dxa"/>
              <w:right w:w="0" w:type="dxa"/>
            </w:tcMar>
            <w:vAlign w:val="center"/>
          </w:tcPr>
          <w:p>
            <w:pPr>
              <w:pStyle w:val="TableContents"/>
              <w:bidi w:val="0"/>
              <w:spacing w:before="120" w:after="283"/>
              <w:jc w:val="left"/>
              <w:rPr>
                <w:rFonts w:ascii="Montserrat;sans-serif" w:hAnsi="Montserrat;sans-serif"/>
                <w:color w:val="000000"/>
                <w:sz w:val="16"/>
              </w:rPr>
            </w:pPr>
            <w:r>
              <w:rPr>
                <w:rFonts w:ascii="Montserrat;sans-serif" w:hAnsi="Montserrat;sans-serif"/>
                <w:color w:val="000000"/>
                <w:sz w:val="16"/>
              </w:rPr>
              <w:t>Chair</w:t>
            </w:r>
          </w:p>
        </w:tc>
        <w:tc>
          <w:tcPr>
            <w:tcW w:w="296" w:type="dxa"/>
            <w:tcBorders/>
            <w:tcMar>
              <w:top w:w="0" w:type="dxa"/>
              <w:left w:w="0" w:type="dxa"/>
              <w:bottom w:w="0" w:type="dxa"/>
              <w:right w:w="0" w:type="dxa"/>
            </w:tcMar>
            <w:vAlign w:val="center"/>
          </w:tcPr>
          <w:p>
            <w:pPr>
              <w:pStyle w:val="TableContents"/>
              <w:bidi w:val="0"/>
              <w:spacing w:before="60" w:after="60"/>
              <w:jc w:val="center"/>
              <w:rPr/>
            </w:pPr>
            <w:r>
              <w:rPr/>
              <w:drawing>
                <wp:inline distT="0" distB="0" distL="0" distR="0">
                  <wp:extent cx="133350" cy="133350"/>
                  <wp:effectExtent l="0" t="0" r="0" b="0"/>
                  <wp:docPr id="74"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59" descr=""/>
                          <pic:cNvPicPr>
                            <a:picLocks noChangeAspect="1" noChangeArrowheads="1"/>
                          </pic:cNvPicPr>
                        </pic:nvPicPr>
                        <pic:blipFill>
                          <a:blip r:embed="rId67"/>
                          <a:stretch>
                            <a:fillRect/>
                          </a:stretch>
                        </pic:blipFill>
                        <pic:spPr bwMode="auto">
                          <a:xfrm>
                            <a:off x="0" y="0"/>
                            <a:ext cx="133350" cy="133350"/>
                          </a:xfrm>
                          <a:prstGeom prst="rect">
                            <a:avLst/>
                          </a:prstGeom>
                        </pic:spPr>
                      </pic:pic>
                    </a:graphicData>
                  </a:graphic>
                </wp:inline>
              </w:drawing>
            </w:r>
          </w:p>
        </w:tc>
        <w:tc>
          <w:tcPr>
            <w:tcW w:w="841" w:type="dxa"/>
            <w:tcBorders/>
            <w:tcMar>
              <w:top w:w="0" w:type="dxa"/>
              <w:left w:w="0" w:type="dxa"/>
              <w:bottom w:w="0" w:type="dxa"/>
              <w:right w:w="0" w:type="dxa"/>
            </w:tcMar>
            <w:vAlign w:val="center"/>
          </w:tcPr>
          <w:p>
            <w:pPr>
              <w:pStyle w:val="TableContents"/>
              <w:bidi w:val="0"/>
              <w:spacing w:before="120" w:after="283"/>
              <w:jc w:val="left"/>
              <w:rPr>
                <w:rFonts w:ascii="Montserrat;sans-serif" w:hAnsi="Montserrat;sans-serif"/>
                <w:color w:val="000000"/>
                <w:sz w:val="16"/>
              </w:rPr>
            </w:pPr>
            <w:r>
              <w:rPr>
                <w:rFonts w:ascii="Montserrat;sans-serif" w:hAnsi="Montserrat;sans-serif"/>
                <w:color w:val="000000"/>
                <w:sz w:val="16"/>
              </w:rPr>
              <w:t>Member</w:t>
            </w:r>
          </w:p>
        </w:tc>
      </w:tr>
    </w:tbl>
    <w:p>
      <w:pPr>
        <w:pStyle w:val="TextBody"/>
        <w:bidi w:val="0"/>
        <w:jc w:val="both"/>
        <w:rPr/>
      </w:pPr>
      <w:r>
        <w:rPr/>
        <w:t> </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2641"/>
        <w:gridCol w:w="331"/>
      </w:tblGrid>
      <w:tr>
        <w:trPr/>
        <w:tc>
          <w:tcPr>
            <w:tcW w:w="26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75"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0" descr=""/>
                          <pic:cNvPicPr>
                            <a:picLocks noChangeAspect="1" noChangeArrowheads="1"/>
                          </pic:cNvPicPr>
                        </pic:nvPicPr>
                        <pic:blipFill>
                          <a:blip r:embed="rId68"/>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3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07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ind w:left="0" w:right="0" w:hanging="0"/>
        <w:jc w:val="left"/>
        <w:rPr>
          <w:rFonts w:ascii="Montserrat;sans-serif" w:hAnsi="Montserrat;sans-serif"/>
          <w:color w:val="000000"/>
          <w:sz w:val="13"/>
        </w:rPr>
      </w:pPr>
      <w:r>
        <w:rPr>
          <w:rFonts w:ascii="Montserrat;sans-serif" w:hAnsi="Montserrat;sans-serif"/>
          <w:color w:val="000000"/>
          <w:sz w:val="13"/>
        </w:rPr>
        <w:t>Proxy Voting Roadmap</w:t>
      </w:r>
    </w:p>
    <w:p>
      <w:pPr>
        <w:pStyle w:val="TextBody"/>
        <w:bidi w:val="0"/>
        <w:spacing w:before="60" w:after="283"/>
        <w:jc w:val="left"/>
        <w:rPr/>
      </w:pPr>
      <w:r>
        <w:rPr/>
        <w:t> </w:t>
      </w:r>
    </w:p>
    <w:p>
      <w:pPr>
        <w:pStyle w:val="TextBody"/>
        <w:bidi w:val="0"/>
        <w:jc w:val="left"/>
        <w:rPr/>
      </w:pPr>
      <w:r>
        <w:rPr/>
        <w:t> </w:t>
      </w:r>
    </w:p>
    <w:p>
      <w:pPr>
        <w:pStyle w:val="TextBody"/>
        <w:bidi w:val="0"/>
        <w:jc w:val="left"/>
        <w:rPr/>
      </w:pPr>
      <w:r>
        <w:rPr/>
        <w:t> </w:t>
      </w:r>
    </w:p>
    <w:p>
      <w:pPr>
        <w:pStyle w:val="TextBody"/>
        <w:bidi w:val="0"/>
        <w:jc w:val="both"/>
        <w:rPr>
          <w:rFonts w:ascii="Montserrat;sans-serif" w:hAnsi="Montserrat;sans-serif"/>
          <w:b/>
          <w:color w:val="000000"/>
          <w:sz w:val="22"/>
        </w:rPr>
      </w:pPr>
      <w:r>
        <w:rPr>
          <w:rFonts w:ascii="Montserrat;sans-serif" w:hAnsi="Montserrat;sans-serif"/>
          <w:b/>
          <w:color w:val="000000"/>
          <w:sz w:val="22"/>
        </w:rPr>
        <w:t>Corporate Governance Highlights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910"/>
        <w:gridCol w:w="146"/>
        <w:gridCol w:w="195"/>
        <w:gridCol w:w="6954"/>
      </w:tblGrid>
      <w:tr>
        <w:trPr/>
        <w:tc>
          <w:tcPr>
            <w:tcW w:w="29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954" w:type="dxa"/>
            <w:tcBorders/>
            <w:vAlign w:val="center"/>
          </w:tcPr>
          <w:p>
            <w:pPr>
              <w:pStyle w:val="TableContents"/>
              <w:bidi w:val="0"/>
              <w:spacing w:before="0" w:after="283"/>
              <w:ind w:left="0" w:right="0" w:firstLine="60"/>
              <w:jc w:val="left"/>
              <w:rPr>
                <w:sz w:val="4"/>
                <w:szCs w:val="4"/>
              </w:rPr>
            </w:pPr>
            <w:r>
              <w:rPr>
                <w:sz w:val="4"/>
                <w:szCs w:val="4"/>
              </w:rPr>
            </w:r>
          </w:p>
        </w:tc>
      </w:tr>
      <w:tr>
        <w:trPr/>
        <w:tc>
          <w:tcPr>
            <w:tcW w:w="2910" w:type="dxa"/>
            <w:tcBorders>
              <w:top w:val="single" w:sz="4" w:space="0" w:color="7855FA"/>
            </w:tcBorders>
            <w:tcMar>
              <w:left w:w="0" w:type="dxa"/>
              <w:bottom w:w="0" w:type="dxa"/>
              <w:right w:w="0" w:type="dxa"/>
            </w:tcMar>
            <w:vAlign w:val="center"/>
          </w:tcPr>
          <w:p>
            <w:pPr>
              <w:pStyle w:val="TableContents"/>
              <w:bidi w:val="0"/>
              <w:spacing w:before="40" w:after="283"/>
              <w:ind w:left="60" w:right="0" w:firstLine="6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Board Composition</w:t>
            </w:r>
          </w:p>
        </w:tc>
        <w:tc>
          <w:tcPr>
            <w:tcW w:w="146" w:type="dxa"/>
            <w:tcBorders>
              <w:top w:val="single" w:sz="4" w:space="0" w:color="7855FA"/>
            </w:tcBorders>
            <w:tcMar>
              <w:left w:w="0" w:type="dxa"/>
              <w:bottom w:w="0" w:type="dxa"/>
              <w:right w:w="0" w:type="dxa"/>
            </w:tcMar>
            <w:vAlign w:val="center"/>
          </w:tcPr>
          <w:p>
            <w:pPr>
              <w:pStyle w:val="TableContents"/>
              <w:bidi w:val="0"/>
              <w:spacing w:before="40" w:after="283"/>
              <w:jc w:val="left"/>
              <w:rPr/>
            </w:pPr>
            <w:r>
              <w:rPr/>
              <w:t> </w:t>
            </w:r>
          </w:p>
        </w:tc>
        <w:tc>
          <w:tcPr>
            <w:tcW w:w="195" w:type="dxa"/>
            <w:tcBorders>
              <w:top w:val="single" w:sz="4" w:space="0" w:color="7855FA"/>
            </w:tcBorders>
            <w:tcMar>
              <w:left w:w="0" w:type="dxa"/>
              <w:bottom w:w="0" w:type="dxa"/>
              <w:right w:w="0" w:type="dxa"/>
            </w:tcMar>
            <w:vAlign w:val="center"/>
          </w:tcPr>
          <w:p>
            <w:pPr>
              <w:pStyle w:val="TableContents"/>
              <w:bidi w:val="0"/>
              <w:spacing w:before="40" w:after="283"/>
              <w:jc w:val="right"/>
              <w:rPr>
                <w:rFonts w:ascii="Montserrat" w:hAnsi="Montserrat"/>
                <w:sz w:val="17"/>
              </w:rPr>
            </w:pPr>
            <w:r>
              <w:rPr>
                <w:rFonts w:ascii="Symbol;serif" w:hAnsi="Symbol;serif"/>
                <w:color w:val="7855FA"/>
                <w:sz w:val="17"/>
              </w:rPr>
              <w:t>·</w:t>
            </w:r>
            <w:r>
              <w:rPr>
                <w:rFonts w:ascii="Montserrat" w:hAnsi="Montserrat"/>
                <w:color w:val="7855FA"/>
                <w:sz w:val="17"/>
              </w:rPr>
              <w:t xml:space="preserve"> </w:t>
            </w:r>
          </w:p>
        </w:tc>
        <w:tc>
          <w:tcPr>
            <w:tcW w:w="6954" w:type="dxa"/>
            <w:tcBorders>
              <w:top w:val="single" w:sz="4" w:space="0" w:color="7855FA"/>
            </w:tcBorders>
            <w:tcMar>
              <w:left w:w="0" w:type="dxa"/>
              <w:bottom w:w="0" w:type="dxa"/>
              <w:right w:w="0" w:type="dxa"/>
            </w:tcMar>
            <w:vAlign w:val="center"/>
          </w:tcPr>
          <w:p>
            <w:pPr>
              <w:pStyle w:val="TableContents"/>
              <w:bidi w:val="0"/>
              <w:spacing w:before="40" w:after="283"/>
              <w:ind w:left="0" w:right="0" w:firstLine="60"/>
              <w:jc w:val="left"/>
              <w:rPr>
                <w:rFonts w:ascii="Montserrat;sans-serif" w:hAnsi="Montserrat;sans-serif"/>
                <w:color w:val="000000"/>
                <w:sz w:val="17"/>
              </w:rPr>
            </w:pPr>
            <w:r>
              <w:rPr>
                <w:rFonts w:ascii="Montserrat;sans-serif" w:hAnsi="Montserrat;sans-serif"/>
                <w:color w:val="000000"/>
                <w:sz w:val="17"/>
              </w:rPr>
              <w:t>Seven out of our eight director nominees are independent.</w:t>
            </w:r>
          </w:p>
        </w:tc>
      </w:tr>
      <w:tr>
        <w:trPr/>
        <w:tc>
          <w:tcPr>
            <w:tcW w:w="2910" w:type="dxa"/>
            <w:tcBorders>
              <w:bottom w:val="single" w:sz="4" w:space="0" w:color="000000"/>
            </w:tcBorders>
            <w:tcMar>
              <w:top w:w="0" w:type="dxa"/>
              <w:left w:w="0" w:type="dxa"/>
              <w:right w:w="0" w:type="dxa"/>
            </w:tcMar>
            <w:vAlign w:val="center"/>
          </w:tcPr>
          <w:p>
            <w:pPr>
              <w:pStyle w:val="TableContents"/>
              <w:bidi w:val="0"/>
              <w:spacing w:before="40" w:after="40"/>
              <w:ind w:left="60" w:right="0" w:firstLine="6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left"/>
              <w:rPr/>
            </w:pPr>
            <w:r>
              <w:rPr/>
              <w:t> </w:t>
            </w:r>
          </w:p>
        </w:tc>
        <w:tc>
          <w:tcPr>
            <w:tcW w:w="195" w:type="dxa"/>
            <w:tcBorders>
              <w:bottom w:val="single" w:sz="4" w:space="0" w:color="000000"/>
            </w:tcBorders>
            <w:tcMar>
              <w:top w:w="0" w:type="dxa"/>
              <w:left w:w="0" w:type="dxa"/>
              <w:right w:w="0" w:type="dxa"/>
            </w:tcMar>
            <w:vAlign w:val="center"/>
          </w:tcPr>
          <w:p>
            <w:pPr>
              <w:pStyle w:val="TableContents"/>
              <w:bidi w:val="0"/>
              <w:spacing w:before="40" w:after="40"/>
              <w:jc w:val="right"/>
              <w:rPr>
                <w:rFonts w:ascii="Montserrat" w:hAnsi="Montserrat"/>
                <w:sz w:val="17"/>
              </w:rPr>
            </w:pPr>
            <w:r>
              <w:rPr>
                <w:rFonts w:ascii="Symbol;serif" w:hAnsi="Symbol;serif"/>
                <w:color w:val="7855FA"/>
                <w:sz w:val="17"/>
              </w:rPr>
              <w:t>·</w:t>
            </w:r>
            <w:r>
              <w:rPr>
                <w:rFonts w:ascii="Montserrat" w:hAnsi="Montserrat"/>
                <w:color w:val="7855FA"/>
                <w:sz w:val="17"/>
              </w:rPr>
              <w:t xml:space="preserve"> </w:t>
            </w:r>
          </w:p>
        </w:tc>
        <w:tc>
          <w:tcPr>
            <w:tcW w:w="6954" w:type="dxa"/>
            <w:tcBorders>
              <w:bottom w:val="single" w:sz="4" w:space="0" w:color="000000"/>
            </w:tcBorders>
            <w:tcMar>
              <w:top w:w="0" w:type="dxa"/>
              <w:left w:w="0" w:type="dxa"/>
              <w:right w:w="0" w:type="dxa"/>
            </w:tcMar>
            <w:vAlign w:val="center"/>
          </w:tcPr>
          <w:p>
            <w:pPr>
              <w:pStyle w:val="TableContents"/>
              <w:bidi w:val="0"/>
              <w:spacing w:before="40" w:after="40"/>
              <w:ind w:left="0" w:right="0" w:firstLine="60"/>
              <w:jc w:val="left"/>
              <w:rPr>
                <w:rFonts w:ascii="Montserrat;sans-serif" w:hAnsi="Montserrat;sans-serif"/>
                <w:color w:val="000000"/>
                <w:sz w:val="17"/>
              </w:rPr>
            </w:pPr>
            <w:r>
              <w:rPr>
                <w:rFonts w:ascii="Montserrat;sans-serif" w:hAnsi="Montserrat;sans-serif"/>
                <w:color w:val="000000"/>
                <w:sz w:val="17"/>
              </w:rPr>
              <w:t>Two out of our eight director nominees are women.</w:t>
            </w:r>
          </w:p>
        </w:tc>
      </w:tr>
      <w:tr>
        <w:trPr/>
        <w:tc>
          <w:tcPr>
            <w:tcW w:w="2910" w:type="dxa"/>
            <w:tcBorders>
              <w:bottom w:val="single" w:sz="4" w:space="0" w:color="000000"/>
            </w:tcBorders>
            <w:tcMar>
              <w:top w:w="0" w:type="dxa"/>
              <w:left w:w="0" w:type="dxa"/>
              <w:right w:w="0" w:type="dxa"/>
            </w:tcMar>
            <w:vAlign w:val="center"/>
          </w:tcPr>
          <w:p>
            <w:pPr>
              <w:pStyle w:val="TableContents"/>
              <w:bidi w:val="0"/>
              <w:spacing w:before="40" w:after="40"/>
              <w:ind w:left="60" w:right="0" w:firstLine="6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Average Tenure</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left"/>
              <w:rPr/>
            </w:pPr>
            <w:r>
              <w:rPr/>
              <w:t> </w:t>
            </w:r>
          </w:p>
        </w:tc>
        <w:tc>
          <w:tcPr>
            <w:tcW w:w="195" w:type="dxa"/>
            <w:tcBorders>
              <w:bottom w:val="single" w:sz="4" w:space="0" w:color="000000"/>
            </w:tcBorders>
            <w:tcMar>
              <w:top w:w="0" w:type="dxa"/>
              <w:left w:w="0" w:type="dxa"/>
              <w:right w:w="0" w:type="dxa"/>
            </w:tcMar>
            <w:vAlign w:val="center"/>
          </w:tcPr>
          <w:p>
            <w:pPr>
              <w:pStyle w:val="TableContents"/>
              <w:bidi w:val="0"/>
              <w:spacing w:before="40" w:after="40"/>
              <w:jc w:val="right"/>
              <w:rPr>
                <w:rFonts w:ascii="Montserrat" w:hAnsi="Montserrat"/>
                <w:sz w:val="17"/>
              </w:rPr>
            </w:pPr>
            <w:r>
              <w:rPr>
                <w:rFonts w:ascii="Symbol;serif" w:hAnsi="Symbol;serif"/>
                <w:color w:val="7855FA"/>
                <w:sz w:val="17"/>
              </w:rPr>
              <w:t>·</w:t>
            </w:r>
            <w:r>
              <w:rPr>
                <w:rFonts w:ascii="Montserrat" w:hAnsi="Montserrat"/>
                <w:color w:val="7855FA"/>
                <w:sz w:val="17"/>
              </w:rPr>
              <w:t xml:space="preserve"> </w:t>
            </w:r>
          </w:p>
        </w:tc>
        <w:tc>
          <w:tcPr>
            <w:tcW w:w="6954" w:type="dxa"/>
            <w:tcBorders>
              <w:bottom w:val="single" w:sz="4" w:space="0" w:color="000000"/>
            </w:tcBorders>
            <w:tcMar>
              <w:top w:w="0" w:type="dxa"/>
              <w:left w:w="0" w:type="dxa"/>
              <w:right w:w="0" w:type="dxa"/>
            </w:tcMar>
            <w:vAlign w:val="center"/>
          </w:tcPr>
          <w:p>
            <w:pPr>
              <w:pStyle w:val="TableContents"/>
              <w:bidi w:val="0"/>
              <w:spacing w:before="40" w:after="40"/>
              <w:ind w:left="0" w:right="0" w:firstLine="60"/>
              <w:jc w:val="left"/>
              <w:rPr>
                <w:rFonts w:ascii="Montserrat;sans-serif" w:hAnsi="Montserrat;sans-serif"/>
                <w:color w:val="000000"/>
                <w:sz w:val="17"/>
              </w:rPr>
            </w:pPr>
            <w:r>
              <w:rPr>
                <w:rFonts w:ascii="Montserrat;sans-serif" w:hAnsi="Montserrat;sans-serif"/>
                <w:color w:val="000000"/>
                <w:sz w:val="17"/>
              </w:rPr>
              <w:t>Average tenure of our Board is 5.5 years, inclusive of all current directors.</w:t>
            </w:r>
          </w:p>
        </w:tc>
      </w:tr>
      <w:tr>
        <w:trPr/>
        <w:tc>
          <w:tcPr>
            <w:tcW w:w="2910" w:type="dxa"/>
            <w:tcBorders>
              <w:bottom w:val="single" w:sz="4" w:space="0" w:color="000000"/>
            </w:tcBorders>
            <w:tcMar>
              <w:top w:w="0" w:type="dxa"/>
              <w:left w:w="0" w:type="dxa"/>
              <w:right w:w="0" w:type="dxa"/>
            </w:tcMar>
            <w:vAlign w:val="center"/>
          </w:tcPr>
          <w:p>
            <w:pPr>
              <w:pStyle w:val="TableContents"/>
              <w:bidi w:val="0"/>
              <w:spacing w:before="40" w:after="40"/>
              <w:ind w:left="60" w:right="0" w:firstLine="6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Independent Chair of our Board</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left"/>
              <w:rPr/>
            </w:pPr>
            <w:r>
              <w:rPr/>
              <w:t> </w:t>
            </w:r>
          </w:p>
        </w:tc>
        <w:tc>
          <w:tcPr>
            <w:tcW w:w="195" w:type="dxa"/>
            <w:tcBorders>
              <w:bottom w:val="single" w:sz="4" w:space="0" w:color="000000"/>
            </w:tcBorders>
            <w:tcMar>
              <w:top w:w="0" w:type="dxa"/>
              <w:left w:w="0" w:type="dxa"/>
              <w:right w:w="0" w:type="dxa"/>
            </w:tcMar>
            <w:vAlign w:val="center"/>
          </w:tcPr>
          <w:p>
            <w:pPr>
              <w:pStyle w:val="TableContents"/>
              <w:bidi w:val="0"/>
              <w:spacing w:before="40" w:after="40"/>
              <w:jc w:val="right"/>
              <w:rPr>
                <w:rFonts w:ascii="Montserrat" w:hAnsi="Montserrat"/>
                <w:sz w:val="17"/>
              </w:rPr>
            </w:pPr>
            <w:r>
              <w:rPr>
                <w:rFonts w:ascii="Symbol;serif" w:hAnsi="Symbol;serif"/>
                <w:color w:val="7855FA"/>
                <w:sz w:val="17"/>
              </w:rPr>
              <w:t>·</w:t>
            </w:r>
            <w:r>
              <w:rPr>
                <w:rFonts w:ascii="Montserrat" w:hAnsi="Montserrat"/>
                <w:color w:val="7855FA"/>
                <w:sz w:val="17"/>
              </w:rPr>
              <w:t xml:space="preserve"> </w:t>
            </w:r>
          </w:p>
        </w:tc>
        <w:tc>
          <w:tcPr>
            <w:tcW w:w="6954" w:type="dxa"/>
            <w:tcBorders>
              <w:bottom w:val="single" w:sz="4" w:space="0" w:color="000000"/>
            </w:tcBorders>
            <w:tcMar>
              <w:top w:w="0" w:type="dxa"/>
              <w:left w:w="0" w:type="dxa"/>
              <w:right w:w="0" w:type="dxa"/>
            </w:tcMar>
            <w:vAlign w:val="center"/>
          </w:tcPr>
          <w:p>
            <w:pPr>
              <w:pStyle w:val="TableContents"/>
              <w:bidi w:val="0"/>
              <w:spacing w:before="40" w:after="40"/>
              <w:ind w:left="0" w:right="0" w:firstLine="60"/>
              <w:jc w:val="left"/>
              <w:rPr>
                <w:rFonts w:ascii="Montserrat;sans-serif" w:hAnsi="Montserrat;sans-serif"/>
                <w:color w:val="000000"/>
                <w:sz w:val="17"/>
              </w:rPr>
            </w:pPr>
            <w:r>
              <w:rPr>
                <w:rFonts w:ascii="Montserrat;sans-serif" w:hAnsi="Montserrat;sans-serif"/>
                <w:color w:val="000000"/>
                <w:sz w:val="17"/>
              </w:rPr>
              <w:t>We have an independent Chair of our Board.</w:t>
            </w:r>
          </w:p>
        </w:tc>
      </w:tr>
      <w:tr>
        <w:trPr/>
        <w:tc>
          <w:tcPr>
            <w:tcW w:w="2910" w:type="dxa"/>
            <w:tcBorders>
              <w:bottom w:val="single" w:sz="4" w:space="0" w:color="000000"/>
            </w:tcBorders>
            <w:tcMar>
              <w:top w:w="0" w:type="dxa"/>
              <w:left w:w="0" w:type="dxa"/>
              <w:right w:w="0" w:type="dxa"/>
            </w:tcMar>
            <w:vAlign w:val="center"/>
          </w:tcPr>
          <w:p>
            <w:pPr>
              <w:pStyle w:val="TableContents"/>
              <w:bidi w:val="0"/>
              <w:spacing w:before="40" w:after="40"/>
              <w:ind w:left="60" w:right="0" w:firstLine="6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Independent Board Committees</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left"/>
              <w:rPr/>
            </w:pPr>
            <w:r>
              <w:rPr/>
              <w:t> </w:t>
            </w:r>
          </w:p>
        </w:tc>
        <w:tc>
          <w:tcPr>
            <w:tcW w:w="195" w:type="dxa"/>
            <w:tcBorders>
              <w:bottom w:val="single" w:sz="4" w:space="0" w:color="000000"/>
            </w:tcBorders>
            <w:tcMar>
              <w:top w:w="0" w:type="dxa"/>
              <w:left w:w="0" w:type="dxa"/>
              <w:right w:w="0" w:type="dxa"/>
            </w:tcMar>
            <w:vAlign w:val="center"/>
          </w:tcPr>
          <w:p>
            <w:pPr>
              <w:pStyle w:val="TableContents"/>
              <w:bidi w:val="0"/>
              <w:spacing w:before="40" w:after="40"/>
              <w:jc w:val="right"/>
              <w:rPr>
                <w:rFonts w:ascii="Montserrat" w:hAnsi="Montserrat"/>
                <w:sz w:val="17"/>
              </w:rPr>
            </w:pPr>
            <w:r>
              <w:rPr>
                <w:rFonts w:ascii="Symbol;serif" w:hAnsi="Symbol;serif"/>
                <w:color w:val="7855FA"/>
                <w:sz w:val="17"/>
              </w:rPr>
              <w:t>·</w:t>
            </w:r>
            <w:r>
              <w:rPr>
                <w:rFonts w:ascii="Montserrat" w:hAnsi="Montserrat"/>
                <w:color w:val="7855FA"/>
                <w:sz w:val="17"/>
              </w:rPr>
              <w:t xml:space="preserve"> </w:t>
            </w:r>
          </w:p>
        </w:tc>
        <w:tc>
          <w:tcPr>
            <w:tcW w:w="6954" w:type="dxa"/>
            <w:tcBorders>
              <w:bottom w:val="single" w:sz="4" w:space="0" w:color="000000"/>
            </w:tcBorders>
            <w:tcMar>
              <w:top w:w="0" w:type="dxa"/>
              <w:left w:w="0" w:type="dxa"/>
              <w:right w:w="0" w:type="dxa"/>
            </w:tcMar>
            <w:vAlign w:val="center"/>
          </w:tcPr>
          <w:p>
            <w:pPr>
              <w:pStyle w:val="TableContents"/>
              <w:bidi w:val="0"/>
              <w:spacing w:before="40" w:after="40"/>
              <w:ind w:left="0" w:right="0" w:firstLine="60"/>
              <w:jc w:val="left"/>
              <w:rPr>
                <w:rFonts w:ascii="Montserrat;sans-serif" w:hAnsi="Montserrat;sans-serif"/>
                <w:color w:val="000000"/>
                <w:sz w:val="17"/>
              </w:rPr>
            </w:pPr>
            <w:r>
              <w:rPr>
                <w:rFonts w:ascii="Montserrat;sans-serif" w:hAnsi="Montserrat;sans-serif"/>
                <w:color w:val="000000"/>
                <w:sz w:val="17"/>
              </w:rPr>
              <w:t>We have an Audit Committee, a Compensation Committee, a Nominating and Corporate Governance Committee, and a Security and Privacy Committee, each of which is composed entirely of independent directors.</w:t>
            </w:r>
          </w:p>
        </w:tc>
      </w:tr>
      <w:tr>
        <w:trPr/>
        <w:tc>
          <w:tcPr>
            <w:tcW w:w="2910" w:type="dxa"/>
            <w:tcBorders/>
            <w:tcMar>
              <w:top w:w="0" w:type="dxa"/>
              <w:left w:w="0" w:type="dxa"/>
              <w:bottom w:w="0" w:type="dxa"/>
              <w:right w:w="0" w:type="dxa"/>
            </w:tcMar>
            <w:vAlign w:val="center"/>
          </w:tcPr>
          <w:p>
            <w:pPr>
              <w:pStyle w:val="TableContents"/>
              <w:bidi w:val="0"/>
              <w:spacing w:before="40" w:after="283"/>
              <w:ind w:left="60" w:right="0" w:firstLine="6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Single Voting Class; One Share, One Vote</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195" w:type="dxa"/>
            <w:tcBorders/>
            <w:tcMar>
              <w:top w:w="0" w:type="dxa"/>
              <w:left w:w="0" w:type="dxa"/>
              <w:bottom w:w="0" w:type="dxa"/>
              <w:right w:w="0" w:type="dxa"/>
            </w:tcMar>
            <w:vAlign w:val="center"/>
          </w:tcPr>
          <w:p>
            <w:pPr>
              <w:pStyle w:val="TableContents"/>
              <w:bidi w:val="0"/>
              <w:spacing w:before="40" w:after="283"/>
              <w:jc w:val="right"/>
              <w:rPr>
                <w:rFonts w:ascii="Montserrat" w:hAnsi="Montserrat"/>
                <w:sz w:val="17"/>
              </w:rPr>
            </w:pPr>
            <w:r>
              <w:rPr>
                <w:rFonts w:ascii="Symbol;serif" w:hAnsi="Symbol;serif"/>
                <w:color w:val="7855FA"/>
                <w:sz w:val="17"/>
              </w:rPr>
              <w:t>·</w:t>
            </w:r>
            <w:r>
              <w:rPr>
                <w:rFonts w:ascii="Montserrat" w:hAnsi="Montserrat"/>
                <w:color w:val="7855FA"/>
                <w:sz w:val="17"/>
              </w:rPr>
              <w:t xml:space="preserve"> </w:t>
            </w:r>
          </w:p>
        </w:tc>
        <w:tc>
          <w:tcPr>
            <w:tcW w:w="6954" w:type="dxa"/>
            <w:tcBorders/>
            <w:tcMar>
              <w:top w:w="0" w:type="dxa"/>
              <w:left w:w="0" w:type="dxa"/>
              <w:bottom w:w="0" w:type="dxa"/>
              <w:right w:w="0" w:type="dxa"/>
            </w:tcMar>
            <w:vAlign w:val="center"/>
          </w:tcPr>
          <w:p>
            <w:pPr>
              <w:pStyle w:val="TableContents"/>
              <w:bidi w:val="0"/>
              <w:spacing w:before="40" w:after="283"/>
              <w:ind w:left="0" w:right="0" w:firstLine="60"/>
              <w:jc w:val="left"/>
              <w:rPr>
                <w:rFonts w:ascii="Montserrat;sans-serif" w:hAnsi="Montserrat;sans-serif"/>
                <w:color w:val="000000"/>
                <w:sz w:val="17"/>
              </w:rPr>
            </w:pPr>
            <w:r>
              <w:rPr>
                <w:rFonts w:ascii="Montserrat;sans-serif" w:hAnsi="Montserrat;sans-serif"/>
                <w:color w:val="000000"/>
                <w:sz w:val="17"/>
              </w:rPr>
              <w:t>We have a single class of common stock with equal voting rights.</w:t>
            </w:r>
          </w:p>
        </w:tc>
      </w:tr>
      <w:tr>
        <w:trPr/>
        <w:tc>
          <w:tcPr>
            <w:tcW w:w="2910" w:type="dxa"/>
            <w:tcBorders>
              <w:bottom w:val="single" w:sz="4" w:space="0" w:color="000000"/>
            </w:tcBorders>
            <w:tcMar>
              <w:top w:w="0" w:type="dxa"/>
              <w:left w:w="0" w:type="dxa"/>
              <w:right w:w="0" w:type="dxa"/>
            </w:tcMar>
            <w:vAlign w:val="center"/>
          </w:tcPr>
          <w:p>
            <w:pPr>
              <w:pStyle w:val="TableContents"/>
              <w:bidi w:val="0"/>
              <w:spacing w:before="40" w:after="40"/>
              <w:ind w:left="60" w:right="0" w:firstLine="6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left"/>
              <w:rPr/>
            </w:pPr>
            <w:r>
              <w:rPr/>
              <w:t> </w:t>
            </w:r>
          </w:p>
        </w:tc>
        <w:tc>
          <w:tcPr>
            <w:tcW w:w="195" w:type="dxa"/>
            <w:tcBorders>
              <w:bottom w:val="single" w:sz="4" w:space="0" w:color="000000"/>
            </w:tcBorders>
            <w:tcMar>
              <w:top w:w="0" w:type="dxa"/>
              <w:left w:w="0" w:type="dxa"/>
              <w:right w:w="0" w:type="dxa"/>
            </w:tcMar>
            <w:vAlign w:val="center"/>
          </w:tcPr>
          <w:p>
            <w:pPr>
              <w:pStyle w:val="TableContents"/>
              <w:bidi w:val="0"/>
              <w:spacing w:before="40" w:after="40"/>
              <w:jc w:val="right"/>
              <w:rPr>
                <w:rFonts w:ascii="Montserrat" w:hAnsi="Montserrat"/>
                <w:sz w:val="17"/>
              </w:rPr>
            </w:pPr>
            <w:r>
              <w:rPr>
                <w:rFonts w:ascii="Symbol;serif" w:hAnsi="Symbol;serif"/>
                <w:color w:val="7855FA"/>
                <w:sz w:val="17"/>
              </w:rPr>
              <w:t>·</w:t>
            </w:r>
            <w:r>
              <w:rPr>
                <w:rFonts w:ascii="Montserrat" w:hAnsi="Montserrat"/>
                <w:color w:val="7855FA"/>
                <w:sz w:val="17"/>
              </w:rPr>
              <w:t xml:space="preserve"> </w:t>
            </w:r>
          </w:p>
        </w:tc>
        <w:tc>
          <w:tcPr>
            <w:tcW w:w="6954" w:type="dxa"/>
            <w:tcBorders>
              <w:bottom w:val="single" w:sz="4" w:space="0" w:color="000000"/>
            </w:tcBorders>
            <w:tcMar>
              <w:top w:w="0" w:type="dxa"/>
              <w:left w:w="0" w:type="dxa"/>
              <w:right w:w="0" w:type="dxa"/>
            </w:tcMar>
            <w:vAlign w:val="center"/>
          </w:tcPr>
          <w:p>
            <w:pPr>
              <w:pStyle w:val="TableContents"/>
              <w:bidi w:val="0"/>
              <w:spacing w:before="40" w:after="40"/>
              <w:ind w:left="0" w:right="0" w:firstLine="60"/>
              <w:jc w:val="left"/>
              <w:rPr>
                <w:rFonts w:ascii="Montserrat;sans-serif" w:hAnsi="Montserrat;sans-serif"/>
                <w:color w:val="000000"/>
                <w:sz w:val="17"/>
              </w:rPr>
            </w:pPr>
            <w:r>
              <w:rPr>
                <w:rFonts w:ascii="Montserrat;sans-serif" w:hAnsi="Montserrat;sans-serif"/>
                <w:color w:val="000000"/>
                <w:sz w:val="17"/>
              </w:rPr>
              <w:t>Each share of our Class A common stock is entitled to one vote.</w:t>
            </w:r>
          </w:p>
        </w:tc>
      </w:tr>
      <w:tr>
        <w:trPr/>
        <w:tc>
          <w:tcPr>
            <w:tcW w:w="2910" w:type="dxa"/>
            <w:tcBorders>
              <w:bottom w:val="single" w:sz="4" w:space="0" w:color="000000"/>
            </w:tcBorders>
            <w:tcMar>
              <w:top w:w="0" w:type="dxa"/>
              <w:left w:w="0" w:type="dxa"/>
              <w:right w:w="0" w:type="dxa"/>
            </w:tcMar>
            <w:vAlign w:val="center"/>
          </w:tcPr>
          <w:p>
            <w:pPr>
              <w:pStyle w:val="TableContents"/>
              <w:bidi w:val="0"/>
              <w:spacing w:before="40" w:after="40"/>
              <w:ind w:left="60" w:right="0" w:firstLine="6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Declassified Board</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left"/>
              <w:rPr/>
            </w:pPr>
            <w:r>
              <w:rPr/>
              <w:t> </w:t>
            </w:r>
          </w:p>
        </w:tc>
        <w:tc>
          <w:tcPr>
            <w:tcW w:w="195" w:type="dxa"/>
            <w:tcBorders>
              <w:bottom w:val="single" w:sz="4" w:space="0" w:color="000000"/>
            </w:tcBorders>
            <w:tcMar>
              <w:top w:w="0" w:type="dxa"/>
              <w:left w:w="0" w:type="dxa"/>
              <w:right w:w="0" w:type="dxa"/>
            </w:tcMar>
            <w:vAlign w:val="center"/>
          </w:tcPr>
          <w:p>
            <w:pPr>
              <w:pStyle w:val="TableContents"/>
              <w:bidi w:val="0"/>
              <w:spacing w:before="40" w:after="40"/>
              <w:jc w:val="right"/>
              <w:rPr>
                <w:rFonts w:ascii="Montserrat" w:hAnsi="Montserrat"/>
                <w:sz w:val="17"/>
              </w:rPr>
            </w:pPr>
            <w:r>
              <w:rPr>
                <w:rFonts w:ascii="Symbol;serif" w:hAnsi="Symbol;serif"/>
                <w:color w:val="7855FA"/>
                <w:sz w:val="17"/>
              </w:rPr>
              <w:t>·</w:t>
            </w:r>
            <w:r>
              <w:rPr>
                <w:rFonts w:ascii="Montserrat" w:hAnsi="Montserrat"/>
                <w:color w:val="7855FA"/>
                <w:sz w:val="17"/>
              </w:rPr>
              <w:t xml:space="preserve"> </w:t>
            </w:r>
          </w:p>
        </w:tc>
        <w:tc>
          <w:tcPr>
            <w:tcW w:w="6954" w:type="dxa"/>
            <w:tcBorders>
              <w:bottom w:val="single" w:sz="4" w:space="0" w:color="000000"/>
            </w:tcBorders>
            <w:tcMar>
              <w:top w:w="0" w:type="dxa"/>
              <w:left w:w="0" w:type="dxa"/>
              <w:right w:w="0" w:type="dxa"/>
            </w:tcMar>
            <w:vAlign w:val="center"/>
          </w:tcPr>
          <w:p>
            <w:pPr>
              <w:pStyle w:val="TableContents"/>
              <w:bidi w:val="0"/>
              <w:spacing w:before="40" w:after="40"/>
              <w:ind w:left="0" w:right="0" w:firstLine="60"/>
              <w:jc w:val="left"/>
              <w:rPr>
                <w:rFonts w:ascii="Montserrat;sans-serif" w:hAnsi="Montserrat;sans-serif"/>
                <w:color w:val="000000"/>
                <w:sz w:val="17"/>
              </w:rPr>
            </w:pPr>
            <w:r>
              <w:rPr>
                <w:rFonts w:ascii="Montserrat;sans-serif" w:hAnsi="Montserrat;sans-serif"/>
                <w:color w:val="000000"/>
                <w:sz w:val="17"/>
              </w:rPr>
              <w:t>Our Board structure is fully declassified.</w:t>
            </w:r>
          </w:p>
        </w:tc>
      </w:tr>
      <w:tr>
        <w:trPr/>
        <w:tc>
          <w:tcPr>
            <w:tcW w:w="2910" w:type="dxa"/>
            <w:tcBorders/>
            <w:tcMar>
              <w:top w:w="0" w:type="dxa"/>
              <w:left w:w="0" w:type="dxa"/>
              <w:bottom w:w="0" w:type="dxa"/>
              <w:right w:w="0" w:type="dxa"/>
            </w:tcMar>
            <w:vAlign w:val="center"/>
          </w:tcPr>
          <w:p>
            <w:pPr>
              <w:pStyle w:val="TableContents"/>
              <w:bidi w:val="0"/>
              <w:spacing w:before="40" w:after="283"/>
              <w:ind w:left="60" w:right="0" w:firstLine="6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Majority Voting Standard; Irrevocable Offer to Resign</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195" w:type="dxa"/>
            <w:tcBorders/>
            <w:tcMar>
              <w:top w:w="0" w:type="dxa"/>
              <w:left w:w="0" w:type="dxa"/>
              <w:bottom w:w="0" w:type="dxa"/>
              <w:right w:w="0" w:type="dxa"/>
            </w:tcMar>
            <w:vAlign w:val="center"/>
          </w:tcPr>
          <w:p>
            <w:pPr>
              <w:pStyle w:val="TableContents"/>
              <w:bidi w:val="0"/>
              <w:spacing w:before="40" w:after="283"/>
              <w:jc w:val="right"/>
              <w:rPr>
                <w:rFonts w:ascii="Montserrat" w:hAnsi="Montserrat"/>
                <w:sz w:val="17"/>
              </w:rPr>
            </w:pPr>
            <w:r>
              <w:rPr>
                <w:rFonts w:ascii="Symbol;serif" w:hAnsi="Symbol;serif"/>
                <w:color w:val="7855FA"/>
                <w:sz w:val="17"/>
              </w:rPr>
              <w:t>·</w:t>
            </w:r>
            <w:r>
              <w:rPr>
                <w:rFonts w:ascii="Montserrat" w:hAnsi="Montserrat"/>
                <w:color w:val="7855FA"/>
                <w:sz w:val="17"/>
              </w:rPr>
              <w:t xml:space="preserve"> </w:t>
            </w:r>
          </w:p>
        </w:tc>
        <w:tc>
          <w:tcPr>
            <w:tcW w:w="6954" w:type="dxa"/>
            <w:tcBorders/>
            <w:tcMar>
              <w:top w:w="0" w:type="dxa"/>
              <w:left w:w="0" w:type="dxa"/>
              <w:bottom w:w="0" w:type="dxa"/>
              <w:right w:w="0" w:type="dxa"/>
            </w:tcMar>
            <w:vAlign w:val="center"/>
          </w:tcPr>
          <w:p>
            <w:pPr>
              <w:pStyle w:val="TableContents"/>
              <w:bidi w:val="0"/>
              <w:spacing w:before="40" w:after="283"/>
              <w:ind w:left="0" w:right="0" w:firstLine="60"/>
              <w:jc w:val="left"/>
              <w:rPr>
                <w:rFonts w:ascii="Montserrat;sans-serif" w:hAnsi="Montserrat;sans-serif"/>
                <w:color w:val="000000"/>
                <w:sz w:val="17"/>
              </w:rPr>
            </w:pPr>
            <w:r>
              <w:rPr>
                <w:rFonts w:ascii="Montserrat;sans-serif" w:hAnsi="Montserrat;sans-serif"/>
                <w:color w:val="000000"/>
                <w:sz w:val="17"/>
              </w:rPr>
              <w:t>Majority voting standard applies to uncontested director elections.</w:t>
            </w:r>
          </w:p>
        </w:tc>
      </w:tr>
      <w:tr>
        <w:trPr/>
        <w:tc>
          <w:tcPr>
            <w:tcW w:w="2910" w:type="dxa"/>
            <w:tcBorders>
              <w:bottom w:val="single" w:sz="4" w:space="0" w:color="000000"/>
            </w:tcBorders>
            <w:tcMar>
              <w:top w:w="0" w:type="dxa"/>
              <w:left w:w="0" w:type="dxa"/>
              <w:right w:w="0" w:type="dxa"/>
            </w:tcMar>
            <w:vAlign w:val="center"/>
          </w:tcPr>
          <w:p>
            <w:pPr>
              <w:pStyle w:val="TableContents"/>
              <w:bidi w:val="0"/>
              <w:spacing w:before="40" w:after="40"/>
              <w:ind w:left="60" w:right="0" w:firstLine="6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left"/>
              <w:rPr/>
            </w:pPr>
            <w:r>
              <w:rPr/>
              <w:t> </w:t>
            </w:r>
          </w:p>
        </w:tc>
        <w:tc>
          <w:tcPr>
            <w:tcW w:w="195" w:type="dxa"/>
            <w:tcBorders>
              <w:bottom w:val="single" w:sz="4" w:space="0" w:color="000000"/>
            </w:tcBorders>
            <w:tcMar>
              <w:top w:w="0" w:type="dxa"/>
              <w:left w:w="0" w:type="dxa"/>
              <w:right w:w="0" w:type="dxa"/>
            </w:tcMar>
            <w:vAlign w:val="center"/>
          </w:tcPr>
          <w:p>
            <w:pPr>
              <w:pStyle w:val="TableContents"/>
              <w:bidi w:val="0"/>
              <w:spacing w:before="40" w:after="40"/>
              <w:jc w:val="right"/>
              <w:rPr>
                <w:rFonts w:ascii="Montserrat" w:hAnsi="Montserrat"/>
                <w:sz w:val="17"/>
              </w:rPr>
            </w:pPr>
            <w:r>
              <w:rPr>
                <w:rFonts w:ascii="Symbol;serif" w:hAnsi="Symbol;serif"/>
                <w:color w:val="7855FA"/>
                <w:sz w:val="17"/>
              </w:rPr>
              <w:t>·</w:t>
            </w:r>
            <w:r>
              <w:rPr>
                <w:rFonts w:ascii="Montserrat" w:hAnsi="Montserrat"/>
                <w:color w:val="7855FA"/>
                <w:sz w:val="17"/>
              </w:rPr>
              <w:t xml:space="preserve"> </w:t>
            </w:r>
          </w:p>
        </w:tc>
        <w:tc>
          <w:tcPr>
            <w:tcW w:w="6954" w:type="dxa"/>
            <w:tcBorders>
              <w:bottom w:val="single" w:sz="4" w:space="0" w:color="000000"/>
            </w:tcBorders>
            <w:tcMar>
              <w:top w:w="0" w:type="dxa"/>
              <w:left w:w="0" w:type="dxa"/>
              <w:right w:w="0" w:type="dxa"/>
            </w:tcMar>
            <w:vAlign w:val="center"/>
          </w:tcPr>
          <w:p>
            <w:pPr>
              <w:pStyle w:val="TableContents"/>
              <w:bidi w:val="0"/>
              <w:spacing w:before="40" w:after="40"/>
              <w:ind w:left="0" w:right="0" w:firstLine="60"/>
              <w:jc w:val="left"/>
              <w:rPr>
                <w:rFonts w:ascii="Montserrat;sans-serif" w:hAnsi="Montserrat;sans-serif"/>
                <w:color w:val="000000"/>
                <w:sz w:val="17"/>
              </w:rPr>
            </w:pPr>
            <w:r>
              <w:rPr>
                <w:rFonts w:ascii="Montserrat;sans-serif" w:hAnsi="Montserrat;sans-serif"/>
                <w:color w:val="000000"/>
                <w:sz w:val="17"/>
              </w:rPr>
              <w:t>Directors tender an irrevocable offer to resign if they do not receive a majority vote and our Board will accept the offer to resign absent a compelling reason.</w:t>
            </w:r>
          </w:p>
        </w:tc>
      </w:tr>
      <w:tr>
        <w:trPr/>
        <w:tc>
          <w:tcPr>
            <w:tcW w:w="2910" w:type="dxa"/>
            <w:tcBorders>
              <w:bottom w:val="single" w:sz="4" w:space="0" w:color="000000"/>
            </w:tcBorders>
            <w:tcMar>
              <w:top w:w="0" w:type="dxa"/>
              <w:left w:w="0" w:type="dxa"/>
              <w:right w:w="0" w:type="dxa"/>
            </w:tcMar>
            <w:vAlign w:val="center"/>
          </w:tcPr>
          <w:p>
            <w:pPr>
              <w:pStyle w:val="TableContents"/>
              <w:bidi w:val="0"/>
              <w:spacing w:before="40" w:after="40"/>
              <w:ind w:left="60" w:right="0" w:firstLine="6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No Supermajority Voting Requirements</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left"/>
              <w:rPr/>
            </w:pPr>
            <w:r>
              <w:rPr/>
              <w:t> </w:t>
            </w:r>
          </w:p>
        </w:tc>
        <w:tc>
          <w:tcPr>
            <w:tcW w:w="195" w:type="dxa"/>
            <w:tcBorders>
              <w:bottom w:val="single" w:sz="4" w:space="0" w:color="000000"/>
            </w:tcBorders>
            <w:tcMar>
              <w:top w:w="0" w:type="dxa"/>
              <w:left w:w="0" w:type="dxa"/>
              <w:right w:w="0" w:type="dxa"/>
            </w:tcMar>
            <w:vAlign w:val="center"/>
          </w:tcPr>
          <w:p>
            <w:pPr>
              <w:pStyle w:val="TableContents"/>
              <w:bidi w:val="0"/>
              <w:spacing w:before="40" w:after="40"/>
              <w:jc w:val="right"/>
              <w:rPr>
                <w:rFonts w:ascii="Montserrat" w:hAnsi="Montserrat"/>
                <w:sz w:val="17"/>
              </w:rPr>
            </w:pPr>
            <w:r>
              <w:rPr>
                <w:rFonts w:ascii="Symbol;serif" w:hAnsi="Symbol;serif"/>
                <w:color w:val="7855FA"/>
                <w:sz w:val="17"/>
              </w:rPr>
              <w:t>·</w:t>
            </w:r>
            <w:r>
              <w:rPr>
                <w:rFonts w:ascii="Montserrat" w:hAnsi="Montserrat"/>
                <w:color w:val="7855FA"/>
                <w:sz w:val="17"/>
              </w:rPr>
              <w:t xml:space="preserve"> </w:t>
            </w:r>
          </w:p>
        </w:tc>
        <w:tc>
          <w:tcPr>
            <w:tcW w:w="6954" w:type="dxa"/>
            <w:tcBorders>
              <w:bottom w:val="single" w:sz="4" w:space="0" w:color="000000"/>
            </w:tcBorders>
            <w:tcMar>
              <w:top w:w="0" w:type="dxa"/>
              <w:left w:w="0" w:type="dxa"/>
              <w:right w:w="0" w:type="dxa"/>
            </w:tcMar>
            <w:vAlign w:val="center"/>
          </w:tcPr>
          <w:p>
            <w:pPr>
              <w:pStyle w:val="TableContents"/>
              <w:bidi w:val="0"/>
              <w:spacing w:before="40" w:after="40"/>
              <w:ind w:left="0" w:right="0" w:firstLine="60"/>
              <w:jc w:val="left"/>
              <w:rPr>
                <w:rFonts w:ascii="Montserrat;sans-serif" w:hAnsi="Montserrat;sans-serif"/>
                <w:color w:val="000000"/>
                <w:sz w:val="17"/>
              </w:rPr>
            </w:pPr>
            <w:r>
              <w:rPr>
                <w:rFonts w:ascii="Montserrat;sans-serif" w:hAnsi="Montserrat;sans-serif"/>
                <w:color w:val="000000"/>
                <w:sz w:val="17"/>
              </w:rPr>
              <w:t>Our certificate of incorporation and bylaws do not contain supermajority voting requirements.</w:t>
            </w:r>
          </w:p>
        </w:tc>
      </w:tr>
      <w:tr>
        <w:trPr/>
        <w:tc>
          <w:tcPr>
            <w:tcW w:w="2910" w:type="dxa"/>
            <w:tcBorders>
              <w:bottom w:val="single" w:sz="4" w:space="0" w:color="000000"/>
            </w:tcBorders>
            <w:tcMar>
              <w:top w:w="0" w:type="dxa"/>
              <w:left w:w="0" w:type="dxa"/>
              <w:right w:w="0" w:type="dxa"/>
            </w:tcMar>
            <w:vAlign w:val="center"/>
          </w:tcPr>
          <w:p>
            <w:pPr>
              <w:pStyle w:val="TableContents"/>
              <w:bidi w:val="0"/>
              <w:spacing w:before="40" w:after="40"/>
              <w:ind w:left="60" w:right="0" w:firstLine="6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Annual Board and Committee Self-Assessments</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left"/>
              <w:rPr/>
            </w:pPr>
            <w:r>
              <w:rPr/>
              <w:t> </w:t>
            </w:r>
          </w:p>
        </w:tc>
        <w:tc>
          <w:tcPr>
            <w:tcW w:w="195" w:type="dxa"/>
            <w:tcBorders>
              <w:bottom w:val="single" w:sz="4" w:space="0" w:color="000000"/>
            </w:tcBorders>
            <w:tcMar>
              <w:top w:w="0" w:type="dxa"/>
              <w:left w:w="0" w:type="dxa"/>
              <w:right w:w="0" w:type="dxa"/>
            </w:tcMar>
            <w:vAlign w:val="center"/>
          </w:tcPr>
          <w:p>
            <w:pPr>
              <w:pStyle w:val="TableContents"/>
              <w:bidi w:val="0"/>
              <w:spacing w:before="40" w:after="40"/>
              <w:jc w:val="right"/>
              <w:rPr>
                <w:rFonts w:ascii="Montserrat" w:hAnsi="Montserrat"/>
                <w:sz w:val="17"/>
              </w:rPr>
            </w:pPr>
            <w:r>
              <w:rPr>
                <w:rFonts w:ascii="Symbol;serif" w:hAnsi="Symbol;serif"/>
                <w:color w:val="7855FA"/>
                <w:sz w:val="17"/>
              </w:rPr>
              <w:t>·</w:t>
            </w:r>
            <w:r>
              <w:rPr>
                <w:rFonts w:ascii="Montserrat" w:hAnsi="Montserrat"/>
                <w:color w:val="7855FA"/>
                <w:sz w:val="17"/>
              </w:rPr>
              <w:t xml:space="preserve"> </w:t>
            </w:r>
          </w:p>
        </w:tc>
        <w:tc>
          <w:tcPr>
            <w:tcW w:w="6954" w:type="dxa"/>
            <w:tcBorders>
              <w:bottom w:val="single" w:sz="4" w:space="0" w:color="000000"/>
            </w:tcBorders>
            <w:tcMar>
              <w:top w:w="0" w:type="dxa"/>
              <w:left w:w="0" w:type="dxa"/>
              <w:right w:w="0" w:type="dxa"/>
            </w:tcMar>
            <w:vAlign w:val="center"/>
          </w:tcPr>
          <w:p>
            <w:pPr>
              <w:pStyle w:val="TableContents"/>
              <w:bidi w:val="0"/>
              <w:spacing w:before="40" w:after="40"/>
              <w:ind w:left="0" w:right="0" w:firstLine="60"/>
              <w:jc w:val="left"/>
              <w:rPr>
                <w:rFonts w:ascii="Montserrat;sans-serif" w:hAnsi="Montserrat;sans-serif"/>
                <w:color w:val="000000"/>
                <w:sz w:val="17"/>
              </w:rPr>
            </w:pPr>
            <w:r>
              <w:rPr>
                <w:rFonts w:ascii="Montserrat;sans-serif" w:hAnsi="Montserrat;sans-serif"/>
                <w:color w:val="000000"/>
                <w:sz w:val="17"/>
              </w:rPr>
              <w:t>Our Board and its committees conduct annual self-assessments as part of an ongoing process to evaluate effectiveness, Board composition, committee performance and areas for continued improvement.</w:t>
            </w:r>
          </w:p>
        </w:tc>
      </w:tr>
      <w:tr>
        <w:trPr/>
        <w:tc>
          <w:tcPr>
            <w:tcW w:w="2910" w:type="dxa"/>
            <w:tcBorders>
              <w:bottom w:val="single" w:sz="4" w:space="0" w:color="000000"/>
            </w:tcBorders>
            <w:tcMar>
              <w:top w:w="0" w:type="dxa"/>
              <w:left w:w="0" w:type="dxa"/>
              <w:right w:w="0" w:type="dxa"/>
            </w:tcMar>
            <w:vAlign w:val="center"/>
          </w:tcPr>
          <w:p>
            <w:pPr>
              <w:pStyle w:val="TableContents"/>
              <w:bidi w:val="0"/>
              <w:spacing w:before="40" w:after="40"/>
              <w:ind w:left="60" w:right="0" w:firstLine="6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No “Poison Pill”</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left"/>
              <w:rPr/>
            </w:pPr>
            <w:r>
              <w:rPr/>
              <w:t> </w:t>
            </w:r>
          </w:p>
        </w:tc>
        <w:tc>
          <w:tcPr>
            <w:tcW w:w="195" w:type="dxa"/>
            <w:tcBorders>
              <w:bottom w:val="single" w:sz="4" w:space="0" w:color="000000"/>
            </w:tcBorders>
            <w:tcMar>
              <w:top w:w="0" w:type="dxa"/>
              <w:left w:w="0" w:type="dxa"/>
              <w:right w:w="0" w:type="dxa"/>
            </w:tcMar>
            <w:vAlign w:val="center"/>
          </w:tcPr>
          <w:p>
            <w:pPr>
              <w:pStyle w:val="TableContents"/>
              <w:bidi w:val="0"/>
              <w:spacing w:before="40" w:after="40"/>
              <w:jc w:val="right"/>
              <w:rPr>
                <w:rFonts w:ascii="Montserrat" w:hAnsi="Montserrat"/>
                <w:sz w:val="17"/>
              </w:rPr>
            </w:pPr>
            <w:r>
              <w:rPr>
                <w:rFonts w:ascii="Symbol;serif" w:hAnsi="Symbol;serif"/>
                <w:color w:val="7855FA"/>
                <w:sz w:val="17"/>
              </w:rPr>
              <w:t>·</w:t>
            </w:r>
            <w:r>
              <w:rPr>
                <w:rFonts w:ascii="Montserrat" w:hAnsi="Montserrat"/>
                <w:color w:val="7855FA"/>
                <w:sz w:val="17"/>
              </w:rPr>
              <w:t xml:space="preserve"> </w:t>
            </w:r>
          </w:p>
        </w:tc>
        <w:tc>
          <w:tcPr>
            <w:tcW w:w="6954" w:type="dxa"/>
            <w:tcBorders>
              <w:bottom w:val="single" w:sz="4" w:space="0" w:color="000000"/>
            </w:tcBorders>
            <w:tcMar>
              <w:top w:w="0" w:type="dxa"/>
              <w:left w:w="0" w:type="dxa"/>
              <w:right w:w="0" w:type="dxa"/>
            </w:tcMar>
            <w:vAlign w:val="center"/>
          </w:tcPr>
          <w:p>
            <w:pPr>
              <w:pStyle w:val="TableContents"/>
              <w:bidi w:val="0"/>
              <w:spacing w:before="40" w:after="40"/>
              <w:ind w:left="0" w:right="0" w:firstLine="60"/>
              <w:jc w:val="left"/>
              <w:rPr>
                <w:rFonts w:ascii="Montserrat;sans-serif" w:hAnsi="Montserrat;sans-serif"/>
                <w:color w:val="000000"/>
                <w:sz w:val="17"/>
              </w:rPr>
            </w:pPr>
            <w:r>
              <w:rPr>
                <w:rFonts w:ascii="Montserrat;sans-serif" w:hAnsi="Montserrat;sans-serif"/>
                <w:color w:val="000000"/>
                <w:sz w:val="17"/>
              </w:rPr>
              <w:t>We do not have a stockholder rights plan, or “poison pill,” in place.</w:t>
            </w:r>
          </w:p>
        </w:tc>
      </w:tr>
      <w:tr>
        <w:trPr/>
        <w:tc>
          <w:tcPr>
            <w:tcW w:w="2910" w:type="dxa"/>
            <w:tcBorders>
              <w:bottom w:val="single" w:sz="4" w:space="0" w:color="000000"/>
            </w:tcBorders>
            <w:tcMar>
              <w:top w:w="0" w:type="dxa"/>
              <w:left w:w="0" w:type="dxa"/>
              <w:right w:w="0" w:type="dxa"/>
            </w:tcMar>
            <w:vAlign w:val="center"/>
          </w:tcPr>
          <w:p>
            <w:pPr>
              <w:pStyle w:val="TableContents"/>
              <w:bidi w:val="0"/>
              <w:spacing w:before="40" w:after="40"/>
              <w:ind w:left="60" w:right="0" w:firstLine="6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Annual Auditor Ratification</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left"/>
              <w:rPr/>
            </w:pPr>
            <w:r>
              <w:rPr/>
              <w:t> </w:t>
            </w:r>
          </w:p>
        </w:tc>
        <w:tc>
          <w:tcPr>
            <w:tcW w:w="195" w:type="dxa"/>
            <w:tcBorders>
              <w:bottom w:val="single" w:sz="4" w:space="0" w:color="000000"/>
            </w:tcBorders>
            <w:tcMar>
              <w:top w:w="0" w:type="dxa"/>
              <w:left w:w="0" w:type="dxa"/>
              <w:right w:w="0" w:type="dxa"/>
            </w:tcMar>
            <w:vAlign w:val="center"/>
          </w:tcPr>
          <w:p>
            <w:pPr>
              <w:pStyle w:val="TableContents"/>
              <w:bidi w:val="0"/>
              <w:spacing w:before="40" w:after="40"/>
              <w:jc w:val="right"/>
              <w:rPr>
                <w:rFonts w:ascii="Montserrat" w:hAnsi="Montserrat"/>
                <w:sz w:val="17"/>
              </w:rPr>
            </w:pPr>
            <w:r>
              <w:rPr>
                <w:rFonts w:ascii="Symbol;serif" w:hAnsi="Symbol;serif"/>
                <w:color w:val="7855FA"/>
                <w:sz w:val="17"/>
              </w:rPr>
              <w:t>·</w:t>
            </w:r>
            <w:r>
              <w:rPr>
                <w:rFonts w:ascii="Montserrat" w:hAnsi="Montserrat"/>
                <w:color w:val="7855FA"/>
                <w:sz w:val="17"/>
              </w:rPr>
              <w:t xml:space="preserve"> </w:t>
            </w:r>
          </w:p>
        </w:tc>
        <w:tc>
          <w:tcPr>
            <w:tcW w:w="6954" w:type="dxa"/>
            <w:tcBorders>
              <w:bottom w:val="single" w:sz="4" w:space="0" w:color="000000"/>
            </w:tcBorders>
            <w:tcMar>
              <w:top w:w="0" w:type="dxa"/>
              <w:left w:w="0" w:type="dxa"/>
              <w:right w:w="0" w:type="dxa"/>
            </w:tcMar>
            <w:vAlign w:val="center"/>
          </w:tcPr>
          <w:p>
            <w:pPr>
              <w:pStyle w:val="TableContents"/>
              <w:bidi w:val="0"/>
              <w:spacing w:before="40" w:after="40"/>
              <w:ind w:left="0" w:right="0" w:firstLine="60"/>
              <w:jc w:val="left"/>
              <w:rPr>
                <w:rFonts w:ascii="Montserrat;sans-serif" w:hAnsi="Montserrat;sans-serif"/>
                <w:color w:val="000000"/>
                <w:sz w:val="17"/>
              </w:rPr>
            </w:pPr>
            <w:r>
              <w:rPr>
                <w:rFonts w:ascii="Montserrat;sans-serif" w:hAnsi="Montserrat;sans-serif"/>
                <w:color w:val="000000"/>
                <w:sz w:val="17"/>
              </w:rPr>
              <w:t>Stockholders have the opportunity to ratify the Audit Committee’s selection of our independent registered public accounting firm annually.</w:t>
            </w:r>
          </w:p>
        </w:tc>
      </w:tr>
      <w:tr>
        <w:trPr/>
        <w:tc>
          <w:tcPr>
            <w:tcW w:w="2910" w:type="dxa"/>
            <w:tcBorders>
              <w:bottom w:val="single" w:sz="4" w:space="0" w:color="000000"/>
            </w:tcBorders>
            <w:tcMar>
              <w:top w:w="0" w:type="dxa"/>
              <w:left w:w="0" w:type="dxa"/>
              <w:right w:w="0" w:type="dxa"/>
            </w:tcMar>
            <w:vAlign w:val="center"/>
          </w:tcPr>
          <w:p>
            <w:pPr>
              <w:pStyle w:val="TableContents"/>
              <w:bidi w:val="0"/>
              <w:spacing w:before="40" w:after="40"/>
              <w:ind w:left="60" w:right="0" w:firstLine="6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Executive Sessions</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left"/>
              <w:rPr/>
            </w:pPr>
            <w:r>
              <w:rPr/>
              <w:t> </w:t>
            </w:r>
          </w:p>
        </w:tc>
        <w:tc>
          <w:tcPr>
            <w:tcW w:w="195" w:type="dxa"/>
            <w:tcBorders>
              <w:bottom w:val="single" w:sz="4" w:space="0" w:color="000000"/>
            </w:tcBorders>
            <w:tcMar>
              <w:top w:w="0" w:type="dxa"/>
              <w:left w:w="0" w:type="dxa"/>
              <w:right w:w="0" w:type="dxa"/>
            </w:tcMar>
            <w:vAlign w:val="center"/>
          </w:tcPr>
          <w:p>
            <w:pPr>
              <w:pStyle w:val="TableContents"/>
              <w:bidi w:val="0"/>
              <w:spacing w:before="40" w:after="40"/>
              <w:jc w:val="right"/>
              <w:rPr>
                <w:rFonts w:ascii="Montserrat" w:hAnsi="Montserrat"/>
                <w:sz w:val="17"/>
              </w:rPr>
            </w:pPr>
            <w:r>
              <w:rPr>
                <w:rFonts w:ascii="Symbol;serif" w:hAnsi="Symbol;serif"/>
                <w:color w:val="7855FA"/>
                <w:sz w:val="17"/>
              </w:rPr>
              <w:t>·</w:t>
            </w:r>
            <w:r>
              <w:rPr>
                <w:rFonts w:ascii="Montserrat" w:hAnsi="Montserrat"/>
                <w:color w:val="7855FA"/>
                <w:sz w:val="17"/>
              </w:rPr>
              <w:t xml:space="preserve"> </w:t>
            </w:r>
          </w:p>
        </w:tc>
        <w:tc>
          <w:tcPr>
            <w:tcW w:w="6954" w:type="dxa"/>
            <w:tcBorders>
              <w:bottom w:val="single" w:sz="4" w:space="0" w:color="000000"/>
            </w:tcBorders>
            <w:tcMar>
              <w:top w:w="0" w:type="dxa"/>
              <w:left w:w="0" w:type="dxa"/>
              <w:right w:w="0" w:type="dxa"/>
            </w:tcMar>
            <w:vAlign w:val="center"/>
          </w:tcPr>
          <w:p>
            <w:pPr>
              <w:pStyle w:val="TableContents"/>
              <w:bidi w:val="0"/>
              <w:spacing w:before="40" w:after="40"/>
              <w:ind w:left="0" w:right="0" w:firstLine="60"/>
              <w:jc w:val="left"/>
              <w:rPr>
                <w:rFonts w:ascii="Montserrat;sans-serif" w:hAnsi="Montserrat;sans-serif"/>
                <w:color w:val="000000"/>
                <w:sz w:val="17"/>
              </w:rPr>
            </w:pPr>
            <w:r>
              <w:rPr>
                <w:rFonts w:ascii="Montserrat;sans-serif" w:hAnsi="Montserrat;sans-serif"/>
                <w:color w:val="000000"/>
                <w:sz w:val="17"/>
              </w:rPr>
              <w:t>Non-employee directors regularly hold executive sessions without management present.</w:t>
            </w:r>
          </w:p>
        </w:tc>
      </w:tr>
      <w:tr>
        <w:trPr/>
        <w:tc>
          <w:tcPr>
            <w:tcW w:w="2910" w:type="dxa"/>
            <w:tcBorders>
              <w:bottom w:val="single" w:sz="4" w:space="0" w:color="7855FA"/>
            </w:tcBorders>
            <w:tcMar>
              <w:top w:w="0" w:type="dxa"/>
              <w:left w:w="0" w:type="dxa"/>
              <w:right w:w="0" w:type="dxa"/>
            </w:tcMar>
            <w:vAlign w:val="center"/>
          </w:tcPr>
          <w:p>
            <w:pPr>
              <w:pStyle w:val="TableContents"/>
              <w:bidi w:val="0"/>
              <w:spacing w:before="40" w:after="40"/>
              <w:ind w:left="60" w:right="0" w:firstLine="6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Stock Ownership Guidelines</w:t>
            </w:r>
          </w:p>
        </w:tc>
        <w:tc>
          <w:tcPr>
            <w:tcW w:w="146" w:type="dxa"/>
            <w:tcBorders>
              <w:bottom w:val="single" w:sz="4" w:space="0" w:color="7855FA"/>
            </w:tcBorders>
            <w:tcMar>
              <w:top w:w="0" w:type="dxa"/>
              <w:left w:w="0" w:type="dxa"/>
              <w:right w:w="0" w:type="dxa"/>
            </w:tcMar>
            <w:vAlign w:val="center"/>
          </w:tcPr>
          <w:p>
            <w:pPr>
              <w:pStyle w:val="TableContents"/>
              <w:bidi w:val="0"/>
              <w:spacing w:before="40" w:after="40"/>
              <w:jc w:val="left"/>
              <w:rPr/>
            </w:pPr>
            <w:r>
              <w:rPr/>
              <w:t> </w:t>
            </w:r>
          </w:p>
        </w:tc>
        <w:tc>
          <w:tcPr>
            <w:tcW w:w="195" w:type="dxa"/>
            <w:tcBorders>
              <w:bottom w:val="single" w:sz="4" w:space="0" w:color="7855FA"/>
            </w:tcBorders>
            <w:tcMar>
              <w:top w:w="0" w:type="dxa"/>
              <w:left w:w="0" w:type="dxa"/>
              <w:right w:w="0" w:type="dxa"/>
            </w:tcMar>
            <w:vAlign w:val="center"/>
          </w:tcPr>
          <w:p>
            <w:pPr>
              <w:pStyle w:val="TableContents"/>
              <w:bidi w:val="0"/>
              <w:spacing w:before="40" w:after="40"/>
              <w:jc w:val="right"/>
              <w:rPr>
                <w:rFonts w:ascii="Montserrat" w:hAnsi="Montserrat"/>
                <w:sz w:val="17"/>
              </w:rPr>
            </w:pPr>
            <w:r>
              <w:rPr>
                <w:rFonts w:ascii="Symbol;serif" w:hAnsi="Symbol;serif"/>
                <w:color w:val="7855FA"/>
                <w:sz w:val="17"/>
              </w:rPr>
              <w:t>·</w:t>
            </w:r>
            <w:r>
              <w:rPr>
                <w:rFonts w:ascii="Montserrat" w:hAnsi="Montserrat"/>
                <w:color w:val="7855FA"/>
                <w:sz w:val="17"/>
              </w:rPr>
              <w:t xml:space="preserve"> </w:t>
            </w:r>
          </w:p>
        </w:tc>
        <w:tc>
          <w:tcPr>
            <w:tcW w:w="6954" w:type="dxa"/>
            <w:tcBorders>
              <w:bottom w:val="single" w:sz="4" w:space="0" w:color="7855FA"/>
            </w:tcBorders>
            <w:tcMar>
              <w:top w:w="0" w:type="dxa"/>
              <w:left w:w="0" w:type="dxa"/>
              <w:right w:w="0" w:type="dxa"/>
            </w:tcMar>
            <w:vAlign w:val="center"/>
          </w:tcPr>
          <w:p>
            <w:pPr>
              <w:pStyle w:val="TableContents"/>
              <w:bidi w:val="0"/>
              <w:spacing w:before="40" w:after="40"/>
              <w:jc w:val="left"/>
              <w:rPr>
                <w:rFonts w:ascii="Montserrat;sans-serif" w:hAnsi="Montserrat;sans-serif"/>
                <w:color w:val="000000"/>
                <w:sz w:val="17"/>
              </w:rPr>
            </w:pPr>
            <w:r>
              <w:rPr>
                <w:rFonts w:ascii="Montserrat;sans-serif" w:hAnsi="Montserrat;sans-serif"/>
                <w:color w:val="000000"/>
                <w:sz w:val="17"/>
              </w:rPr>
              <w:t>Executive officers and non-employee directors are subject to stock ownership guidelines.</w:t>
            </w:r>
          </w:p>
        </w:tc>
      </w:tr>
    </w:tbl>
    <w:p>
      <w:pPr>
        <w:pStyle w:val="TextBody"/>
        <w:bidi w:val="0"/>
        <w:jc w:val="both"/>
        <w:rPr/>
      </w:pPr>
      <w:r>
        <w:rPr/>
        <w:t> </w:t>
      </w:r>
    </w:p>
    <w:p>
      <w:pPr>
        <w:pStyle w:val="TextBody"/>
        <w:bidi w:val="0"/>
        <w:jc w:val="both"/>
        <w:rPr>
          <w:rFonts w:ascii="Montserrat" w:hAnsi="Montserrat"/>
          <w:sz w:val="18"/>
        </w:rPr>
      </w:pPr>
      <w:r>
        <w:rPr>
          <w:rFonts w:ascii="Montserrat;sans-serif" w:hAnsi="Montserrat;sans-serif"/>
          <w:color w:val="000000"/>
          <w:sz w:val="18"/>
        </w:rPr>
        <w:t xml:space="preserve">Our Board believes that it is in the best interests of our company and our stockholders to re-elect each director nominee to a one-year term. Accordingly, our Board unanimously recommends stockholders vote </w:t>
      </w:r>
      <w:r>
        <w:rPr>
          <w:rFonts w:ascii="Montserrat;Montserrat Medium;sans-serif" w:hAnsi="Montserrat;Montserrat Medium;sans-serif"/>
          <w:b/>
          <w:color w:val="000000"/>
          <w:sz w:val="18"/>
        </w:rPr>
        <w:t>FOR</w:t>
      </w:r>
      <w:r>
        <w:rPr>
          <w:rFonts w:ascii="Montserrat" w:hAnsi="Montserrat"/>
          <w:color w:val="000000"/>
          <w:sz w:val="18"/>
        </w:rPr>
        <w:t xml:space="preserve"> </w:t>
      </w:r>
      <w:r>
        <w:rPr>
          <w:rFonts w:ascii="Montserrat;sans-serif" w:hAnsi="Montserrat;sans-serif"/>
          <w:color w:val="000000"/>
          <w:sz w:val="18"/>
        </w:rPr>
        <w:t>the re-election of each director nominee at the Annual Meeting.</w:t>
      </w:r>
    </w:p>
    <w:p>
      <w:pPr>
        <w:pStyle w:val="TextBody"/>
        <w:bidi w:val="0"/>
        <w:spacing w:before="120" w:after="283"/>
        <w:jc w:val="both"/>
        <w:rPr>
          <w:rFonts w:ascii="Montserrat" w:hAnsi="Montserrat"/>
          <w:sz w:val="18"/>
        </w:rPr>
      </w:pPr>
      <w:r>
        <w:rPr>
          <w:rFonts w:ascii="Montserrat;sans-serif" w:hAnsi="Montserrat;sans-serif"/>
          <w:color w:val="000000"/>
          <w:sz w:val="18"/>
        </w:rPr>
        <w:t xml:space="preserve">The re-election of each director nominee requires that the number of shares voted </w:t>
      </w:r>
      <w:r>
        <w:rPr>
          <w:rFonts w:ascii="Montserrat;Montserrat Medium;sans-serif" w:hAnsi="Montserrat;Montserrat Medium;sans-serif"/>
          <w:b/>
          <w:color w:val="000000"/>
          <w:sz w:val="18"/>
        </w:rPr>
        <w:t>FOR</w:t>
      </w:r>
      <w:r>
        <w:rPr>
          <w:rFonts w:ascii="Montserrat" w:hAnsi="Montserrat"/>
          <w:color w:val="000000"/>
          <w:sz w:val="18"/>
        </w:rPr>
        <w:t xml:space="preserve"> </w:t>
      </w:r>
      <w:r>
        <w:rPr>
          <w:rFonts w:ascii="Montserrat;sans-serif" w:hAnsi="Montserrat;sans-serif"/>
          <w:color w:val="000000"/>
          <w:sz w:val="18"/>
        </w:rPr>
        <w:t xml:space="preserve">the nominee’s re-election exceeds the number of votes cast </w:t>
      </w:r>
      <w:r>
        <w:rPr>
          <w:rFonts w:ascii="Montserrat;Montserrat Medium;sans-serif" w:hAnsi="Montserrat;Montserrat Medium;sans-serif"/>
          <w:b/>
          <w:color w:val="000000"/>
          <w:sz w:val="18"/>
        </w:rPr>
        <w:t>AGAINST</w:t>
      </w:r>
      <w:r>
        <w:rPr>
          <w:rFonts w:ascii="Montserrat" w:hAnsi="Montserrat"/>
          <w:color w:val="000000"/>
          <w:sz w:val="18"/>
        </w:rPr>
        <w:t xml:space="preserve"> </w:t>
      </w:r>
      <w:r>
        <w:rPr>
          <w:rFonts w:ascii="Montserrat;sans-serif" w:hAnsi="Montserrat;sans-serif"/>
          <w:color w:val="000000"/>
          <w:sz w:val="18"/>
        </w:rPr>
        <w:t>such nominee’s re-election. An</w:t>
      </w:r>
      <w:r>
        <w:rPr>
          <w:rFonts w:ascii="Montserrat" w:hAnsi="Montserrat"/>
          <w:color w:val="000000"/>
          <w:sz w:val="18"/>
        </w:rPr>
        <w:t xml:space="preserve"> </w:t>
      </w:r>
      <w:r>
        <w:rPr>
          <w:rFonts w:ascii="Montserrat;Montserrat Medium;sans-serif" w:hAnsi="Montserrat;Montserrat Medium;sans-serif"/>
          <w:b/>
          <w:color w:val="000000"/>
          <w:sz w:val="18"/>
        </w:rPr>
        <w:t>ABSTAIN</w:t>
      </w:r>
      <w:r>
        <w:rPr>
          <w:rFonts w:ascii="Montserrat" w:hAnsi="Montserrat"/>
          <w:color w:val="000000"/>
          <w:sz w:val="18"/>
        </w:rPr>
        <w:t xml:space="preserve"> </w:t>
      </w:r>
      <w:r>
        <w:rPr>
          <w:rFonts w:ascii="Montserrat;sans-serif" w:hAnsi="Montserrat;sans-serif"/>
          <w:color w:val="000000"/>
          <w:sz w:val="18"/>
        </w:rPr>
        <w:t>vote or a broker non-vote will have no effect on the outcome of the election.</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301"/>
        <w:gridCol w:w="2671"/>
      </w:tblGrid>
      <w:tr>
        <w:trPr/>
        <w:tc>
          <w:tcPr>
            <w:tcW w:w="30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08</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76"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62" descr=""/>
                          <pic:cNvPicPr>
                            <a:picLocks noChangeAspect="1" noChangeArrowheads="1"/>
                          </pic:cNvPicPr>
                        </pic:nvPicPr>
                        <pic:blipFill>
                          <a:blip r:embed="rId69"/>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ind w:left="0" w:right="0" w:hanging="0"/>
        <w:jc w:val="right"/>
        <w:rPr>
          <w:rFonts w:ascii="Montserrat;sans-serif" w:hAnsi="Montserrat;sans-serif"/>
          <w:color w:val="000000"/>
          <w:sz w:val="13"/>
        </w:rPr>
      </w:pPr>
      <w:r>
        <w:rPr>
          <w:rFonts w:ascii="Montserrat;sans-serif" w:hAnsi="Montserrat;sans-serif"/>
          <w:color w:val="000000"/>
          <w:sz w:val="13"/>
        </w:rPr>
        <w:t>Proxy Voting Roadmap</w:t>
      </w:r>
    </w:p>
    <w:p>
      <w:pPr>
        <w:pStyle w:val="TextBody"/>
        <w:bidi w:val="0"/>
        <w:spacing w:before="60" w:after="283"/>
        <w:jc w:val="right"/>
        <w:rPr/>
      </w:pPr>
      <w:r>
        <w:rPr/>
        <w:t> </w:t>
      </w:r>
    </w:p>
    <w:p>
      <w:pPr>
        <w:pStyle w:val="TextBody"/>
        <w:bidi w:val="0"/>
        <w:jc w:val="right"/>
        <w:rPr/>
      </w:pPr>
      <w:r>
        <w:rPr/>
        <w:t> </w:t>
      </w:r>
    </w:p>
    <w:p>
      <w:pPr>
        <w:pStyle w:val="TextBody"/>
        <w:bidi w:val="0"/>
        <w:jc w:val="right"/>
        <w:rPr/>
      </w:pPr>
      <w:r>
        <w:rPr/>
        <w:t> </w:t>
      </w:r>
    </w:p>
    <w:p>
      <w:pPr>
        <w:pStyle w:val="Heading2"/>
        <w:bidi w:val="0"/>
        <w:jc w:val="both"/>
        <w:rPr>
          <w:rFonts w:ascii="Montserrat;sans-serif" w:hAnsi="Montserrat;sans-serif"/>
          <w:color w:val="7855FA"/>
          <w:sz w:val="28"/>
        </w:rPr>
      </w:pPr>
      <w:r>
        <w:rPr>
          <w:rFonts w:ascii="Montserrat;sans-serif" w:hAnsi="Montserrat;sans-serif"/>
          <w:color w:val="7855FA"/>
          <w:sz w:val="28"/>
        </w:rPr>
        <w:t>Proposal 2: Ratification of Selection of Independent Registered Public Accounting Firm (See Page 34)</w:t>
      </w:r>
    </w:p>
    <w:p>
      <w:pPr>
        <w:pStyle w:val="TextBody"/>
        <w:bidi w:val="0"/>
        <w:jc w:val="both"/>
        <w:rPr/>
      </w:pPr>
      <w:r>
        <w:rPr/>
        <w:t> </w:t>
      </w:r>
    </w:p>
    <w:tbl>
      <w:tblPr>
        <w:tblW w:w="5558" w:type="dxa"/>
        <w:jc w:val="left"/>
        <w:tblInd w:w="0" w:type="dxa"/>
        <w:tblLayout w:type="fixed"/>
        <w:tblCellMar>
          <w:top w:w="28" w:type="dxa"/>
          <w:left w:w="28" w:type="dxa"/>
          <w:bottom w:w="28" w:type="dxa"/>
          <w:right w:w="28" w:type="dxa"/>
        </w:tblCellMar>
      </w:tblPr>
      <w:tblGrid>
        <w:gridCol w:w="356"/>
        <w:gridCol w:w="146"/>
        <w:gridCol w:w="5056"/>
      </w:tblGrid>
      <w:tr>
        <w:trPr/>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56" w:type="dxa"/>
            <w:tcBorders/>
            <w:vAlign w:val="center"/>
          </w:tcPr>
          <w:p>
            <w:pPr>
              <w:pStyle w:val="TableContents"/>
              <w:bidi w:val="0"/>
              <w:spacing w:before="0" w:after="283"/>
              <w:jc w:val="left"/>
              <w:rPr>
                <w:sz w:val="4"/>
                <w:szCs w:val="4"/>
              </w:rPr>
            </w:pPr>
            <w:r>
              <w:rPr>
                <w:sz w:val="4"/>
                <w:szCs w:val="4"/>
              </w:rPr>
            </w:r>
          </w:p>
        </w:tc>
      </w:tr>
      <w:tr>
        <w:trPr/>
        <w:tc>
          <w:tcPr>
            <w:tcW w:w="356" w:type="dxa"/>
            <w:tcBorders>
              <w:left w:val="single" w:sz="8" w:space="0" w:color="7855FA"/>
            </w:tcBorders>
            <w:shd w:fill="7855FA"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785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6" w:type="dxa"/>
            <w:tcBorders>
              <w:right w:val="single" w:sz="8" w:space="0" w:color="7855FA"/>
            </w:tcBorders>
            <w:shd w:fill="7855FA"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6" w:type="dxa"/>
            <w:tcBorders>
              <w:left w:val="single" w:sz="8" w:space="0" w:color="7855FA"/>
            </w:tcBorders>
            <w:shd w:fill="7855FA" w:val="clear"/>
            <w:tcMar>
              <w:top w:w="0" w:type="dxa"/>
              <w:bottom w:w="0" w:type="dxa"/>
              <w:right w:w="0" w:type="dxa"/>
            </w:tcMar>
            <w:vAlign w:val="center"/>
          </w:tcPr>
          <w:p>
            <w:pPr>
              <w:pStyle w:val="TableContents"/>
              <w:bidi w:val="0"/>
              <w:spacing w:before="0" w:after="283"/>
              <w:jc w:val="center"/>
              <w:rPr/>
            </w:pPr>
            <w:r>
              <w:rPr/>
              <w:drawing>
                <wp:inline distT="0" distB="0" distL="0" distR="0">
                  <wp:extent cx="161925" cy="161925"/>
                  <wp:effectExtent l="0" t="0" r="0" b="0"/>
                  <wp:docPr id="7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64" descr=""/>
                          <pic:cNvPicPr>
                            <a:picLocks noChangeAspect="1" noChangeArrowheads="1"/>
                          </pic:cNvPicPr>
                        </pic:nvPicPr>
                        <pic:blipFill>
                          <a:blip r:embed="rId70"/>
                          <a:stretch>
                            <a:fillRect/>
                          </a:stretch>
                        </pic:blipFill>
                        <pic:spPr bwMode="auto">
                          <a:xfrm>
                            <a:off x="0" y="0"/>
                            <a:ext cx="161925" cy="161925"/>
                          </a:xfrm>
                          <a:prstGeom prst="rect">
                            <a:avLst/>
                          </a:prstGeom>
                        </pic:spPr>
                      </pic:pic>
                    </a:graphicData>
                  </a:graphic>
                </wp:inline>
              </w:drawing>
            </w:r>
          </w:p>
        </w:tc>
        <w:tc>
          <w:tcPr>
            <w:tcW w:w="146" w:type="dxa"/>
            <w:tcBorders/>
            <w:shd w:fill="7855FA" w:val="clear"/>
            <w:tcMar>
              <w:top w:w="0" w:type="dxa"/>
              <w:left w:w="0" w:type="dxa"/>
              <w:bottom w:w="0" w:type="dxa"/>
              <w:right w:w="0" w:type="dxa"/>
            </w:tcMar>
            <w:vAlign w:val="center"/>
          </w:tcPr>
          <w:p>
            <w:pPr>
              <w:pStyle w:val="TableContents"/>
              <w:bidi w:val="0"/>
              <w:spacing w:before="0" w:after="283"/>
              <w:jc w:val="left"/>
              <w:rPr/>
            </w:pPr>
            <w:r>
              <w:rPr/>
              <w:t> </w:t>
            </w:r>
          </w:p>
        </w:tc>
        <w:tc>
          <w:tcPr>
            <w:tcW w:w="5056" w:type="dxa"/>
            <w:tcBorders>
              <w:right w:val="single" w:sz="8" w:space="0" w:color="7855FA"/>
            </w:tcBorders>
            <w:shd w:fill="7855FA" w:val="clear"/>
            <w:tcMar>
              <w:top w:w="0" w:type="dxa"/>
              <w:left w:w="0" w:type="dxa"/>
              <w:bottom w:w="0" w:type="dxa"/>
            </w:tcMar>
            <w:vAlign w:val="center"/>
          </w:tcPr>
          <w:p>
            <w:pPr>
              <w:pStyle w:val="TableContents"/>
              <w:bidi w:val="0"/>
              <w:spacing w:before="0" w:after="283"/>
              <w:jc w:val="left"/>
              <w:rPr>
                <w:rFonts w:ascii="Montserrat" w:hAnsi="Montserrat"/>
                <w:sz w:val="17"/>
              </w:rPr>
            </w:pPr>
            <w:r>
              <w:rPr>
                <w:rFonts w:ascii="Montserrat;Montserrat Medium;sans-serif" w:hAnsi="Montserrat;Montserrat Medium;sans-serif"/>
                <w:b/>
                <w:color w:val="FFFFFF"/>
                <w:sz w:val="17"/>
              </w:rPr>
              <w:t>Our Board Recommends a</w:t>
            </w:r>
            <w:r>
              <w:rPr>
                <w:rFonts w:ascii="Montserrat" w:hAnsi="Montserrat"/>
                <w:color w:val="FFFFFF"/>
                <w:sz w:val="17"/>
              </w:rPr>
              <w:t xml:space="preserve"> </w:t>
            </w:r>
            <w:r>
              <w:rPr>
                <w:rFonts w:ascii="Montserrat;sans-serif" w:hAnsi="Montserrat;sans-serif"/>
                <w:b/>
                <w:color w:val="FFFFFF"/>
                <w:sz w:val="17"/>
              </w:rPr>
              <w:t>VOTE FOR</w:t>
            </w:r>
            <w:r>
              <w:rPr>
                <w:rFonts w:ascii="Montserrat" w:hAnsi="Montserrat"/>
                <w:color w:val="FFFFFF"/>
                <w:sz w:val="17"/>
              </w:rPr>
              <w:t xml:space="preserve"> </w:t>
            </w:r>
            <w:r>
              <w:rPr>
                <w:rFonts w:ascii="Montserrat;Montserrat Medium;sans-serif" w:hAnsi="Montserrat;Montserrat Medium;sans-serif"/>
                <w:b/>
                <w:color w:val="FFFFFF"/>
                <w:sz w:val="17"/>
              </w:rPr>
              <w:t>this Proposal 2.</w:t>
            </w:r>
          </w:p>
        </w:tc>
      </w:tr>
      <w:tr>
        <w:trPr/>
        <w:tc>
          <w:tcPr>
            <w:tcW w:w="356" w:type="dxa"/>
            <w:tcBorders>
              <w:left w:val="single" w:sz="8" w:space="0" w:color="7855FA"/>
            </w:tcBorders>
            <w:shd w:fill="7855FA"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785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6" w:type="dxa"/>
            <w:tcBorders>
              <w:right w:val="single" w:sz="8" w:space="0" w:color="7855FA"/>
            </w:tcBorders>
            <w:shd w:fill="7855FA"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rFonts w:ascii="Montserrat;sans-serif" w:hAnsi="Montserrat;sans-serif"/>
          <w:color w:val="000000"/>
          <w:sz w:val="18"/>
        </w:rPr>
      </w:pPr>
      <w:r>
        <w:rPr>
          <w:rFonts w:ascii="Montserrat;sans-serif" w:hAnsi="Montserrat;sans-serif"/>
          <w:color w:val="000000"/>
          <w:sz w:val="18"/>
        </w:rPr>
        <w:t>The Audit Committee has re-appointed Deloitte &amp; Touche LLP as our independent registered public accounting firm for the fiscal year ending July 31, 2027, and has further directed that management submit this selection for ratification by our stockholders at the Annual Meeting. Although ratification by our stockholders is not required by law, we have determined that it is good practice to request ratification of this selection by our stockholders. In the event that Deloitte &amp; Touche LLP is not ratified by our stockholders, the Audit Committee will review its future selection of Deloitte &amp; Touche LLP as our independent registered public accounting firm.</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Principal Accountant Fees and Services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following table provides the aggregate fees for services provided by Deloitte &amp; Touche LLP for the fiscal years ended July 31, 2025 and 2026.</w:t>
      </w:r>
    </w:p>
    <w:p>
      <w:pPr>
        <w:pStyle w:val="TextBody"/>
        <w:bidi w:val="0"/>
        <w:jc w:val="both"/>
        <w:rPr/>
      </w:pPr>
      <w:r>
        <w:rPr/>
        <w:t> </w:t>
      </w:r>
    </w:p>
    <w:tbl>
      <w:tblPr>
        <w:tblW w:w="5264" w:type="dxa"/>
        <w:jc w:val="left"/>
        <w:tblInd w:w="0" w:type="dxa"/>
        <w:tblLayout w:type="fixed"/>
        <w:tblCellMar>
          <w:top w:w="28" w:type="dxa"/>
          <w:left w:w="28" w:type="dxa"/>
          <w:bottom w:w="28" w:type="dxa"/>
          <w:right w:w="28" w:type="dxa"/>
        </w:tblCellMar>
      </w:tblPr>
      <w:tblGrid>
        <w:gridCol w:w="2111"/>
        <w:gridCol w:w="146"/>
        <w:gridCol w:w="146"/>
        <w:gridCol w:w="1066"/>
        <w:gridCol w:w="146"/>
        <w:gridCol w:w="146"/>
        <w:gridCol w:w="146"/>
        <w:gridCol w:w="1066"/>
        <w:gridCol w:w="291"/>
      </w:tblGrid>
      <w:tr>
        <w:trPr/>
        <w:tc>
          <w:tcPr>
            <w:tcW w:w="2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6" w:type="dxa"/>
            <w:gridSpan w:val="6"/>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b/>
                <w:color w:val="7855FA"/>
                <w:sz w:val="17"/>
              </w:rPr>
            </w:pPr>
            <w:r>
              <w:rPr>
                <w:rFonts w:ascii="Montserrat;sans-serif" w:hAnsi="Montserrat;sans-serif"/>
                <w:b/>
                <w:color w:val="7855FA"/>
                <w:sz w:val="17"/>
              </w:rPr>
              <w:t>Fiscal Year Ended July 31,</w:t>
            </w:r>
          </w:p>
        </w:tc>
        <w:tc>
          <w:tcPr>
            <w:tcW w:w="29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Montserrat Medium;sans-serif" w:hAnsi="Montserrat;Montserrat Medium;sans-serif"/>
                <w:b/>
                <w:color w:val="7855FA"/>
                <w:sz w:val="17"/>
              </w:rPr>
            </w:pPr>
            <w:r>
              <w:rPr>
                <w:rFonts w:ascii="Montserrat;Montserrat Medium;sans-serif" w:hAnsi="Montserrat;Montserrat Medium;sans-serif"/>
                <w:b/>
                <w:color w:val="7855FA"/>
                <w:sz w:val="17"/>
              </w:rPr>
              <w:t>2025</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Montserrat Medium;sans-serif" w:hAnsi="Montserrat;Montserrat Medium;sans-serif"/>
                <w:b/>
                <w:color w:val="7855FA"/>
                <w:sz w:val="17"/>
              </w:rPr>
            </w:pPr>
            <w:r>
              <w:rPr>
                <w:rFonts w:ascii="Montserrat;Montserrat Medium;sans-serif" w:hAnsi="Montserrat;Montserrat Medium;sans-serif"/>
                <w:b/>
                <w:color w:val="7855FA"/>
                <w:sz w:val="17"/>
              </w:rPr>
              <w:t>2026</w:t>
              <w:b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1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212"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2111"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ind w:left="100" w:right="0" w:firstLine="100"/>
              <w:jc w:val="left"/>
              <w:rPr>
                <w:rFonts w:ascii="Montserrat Medium;sans-serif" w:hAnsi="Montserrat Medium;sans-serif"/>
                <w:sz w:val="17"/>
              </w:rPr>
            </w:pPr>
            <w:r>
              <w:rPr>
                <w:rFonts w:ascii="Montserrat;Montserrat Medium;sans-serif" w:hAnsi="Montserrat;Montserrat Medium;sans-serif"/>
                <w:b/>
                <w:color w:val="000000"/>
                <w:sz w:val="17"/>
              </w:rPr>
              <w:t>Audit fees</w:t>
            </w:r>
            <w:r>
              <w:rPr>
                <w:rFonts w:ascii="Montserrat;Montserrat Medium;sans-serif" w:hAnsi="Montserrat;Montserrat Medium;sans-serif"/>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4,395,000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4,465,000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11"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ind w:left="100" w:right="0" w:firstLine="100"/>
              <w:jc w:val="left"/>
              <w:rPr>
                <w:rFonts w:ascii="Montserrat Medium;sans-serif" w:hAnsi="Montserrat Medium;sans-serif"/>
                <w:sz w:val="17"/>
              </w:rPr>
            </w:pPr>
            <w:r>
              <w:rPr>
                <w:rFonts w:ascii="Montserrat;Montserrat Medium;sans-serif" w:hAnsi="Montserrat;Montserrat Medium;sans-serif"/>
                <w:b/>
                <w:color w:val="000000"/>
                <w:sz w:val="17"/>
              </w:rPr>
              <w:t>Audit-related fees</w:t>
            </w:r>
            <w:r>
              <w:rPr>
                <w:rFonts w:ascii="Montserrat;Montserrat Medium;sans-serif" w:hAnsi="Montserrat;Montserrat Medium;sans-serif"/>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11"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ind w:left="100" w:right="0" w:firstLine="100"/>
              <w:jc w:val="left"/>
              <w:rPr>
                <w:rFonts w:ascii="Montserrat Medium;sans-serif" w:hAnsi="Montserrat Medium;sans-serif"/>
                <w:sz w:val="17"/>
              </w:rPr>
            </w:pPr>
            <w:r>
              <w:rPr>
                <w:rFonts w:ascii="Montserrat;Montserrat Medium;sans-serif" w:hAnsi="Montserrat;Montserrat Medium;sans-serif"/>
                <w:b/>
                <w:color w:val="000000"/>
                <w:sz w:val="17"/>
              </w:rPr>
              <w:t>Tax fees</w:t>
            </w:r>
            <w:r>
              <w:rPr>
                <w:rFonts w:ascii="Montserrat;Montserrat Medium;sans-serif" w:hAnsi="Montserrat;Montserrat Medium;sans-serif"/>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701,771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860,418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11"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ind w:left="100" w:right="0" w:firstLine="100"/>
              <w:jc w:val="left"/>
              <w:rPr>
                <w:rFonts w:ascii="Montserrat Medium;sans-serif" w:hAnsi="Montserrat Medium;sans-serif"/>
                <w:sz w:val="17"/>
              </w:rPr>
            </w:pPr>
            <w:r>
              <w:rPr>
                <w:rFonts w:ascii="Montserrat;Montserrat Medium;sans-serif" w:hAnsi="Montserrat;Montserrat Medium;sans-serif"/>
                <w:b/>
                <w:color w:val="000000"/>
                <w:sz w:val="17"/>
              </w:rPr>
              <w:t>All other fees</w:t>
            </w:r>
            <w:r>
              <w:rPr>
                <w:rFonts w:ascii="Montserrat;Montserrat Medium;sans-serif" w:hAnsi="Montserrat;Montserrat Medium;sans-serif"/>
                <w:b/>
                <w:color w:val="000000"/>
                <w:sz w:val="11"/>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38,769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11"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sans-serif" w:hAnsi="Montserrat;sans-serif"/>
                <w:b/>
                <w:color w:val="7855FA"/>
                <w:sz w:val="17"/>
              </w:rPr>
            </w:pPr>
            <w:r>
              <w:rPr>
                <w:rFonts w:ascii="Montserrat;sans-serif" w:hAnsi="Montserrat;sans-serif"/>
                <w:b/>
                <w:color w:val="7855FA"/>
                <w:sz w:val="17"/>
              </w:rPr>
              <w:t>TOTAL FEES</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b/>
                <w:color w:val="7855FA"/>
                <w:sz w:val="17"/>
              </w:rPr>
            </w:pPr>
            <w:r>
              <w:rPr>
                <w:rFonts w:ascii="Montserrat;sans-serif" w:hAnsi="Montserrat;sans-serif"/>
                <w:b/>
                <w:color w:val="7855FA"/>
                <w:sz w:val="17"/>
              </w:rPr>
              <w:t>5,135,540</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b/>
                <w:color w:val="7855FA"/>
                <w:sz w:val="17"/>
              </w:rPr>
            </w:pPr>
            <w:r>
              <w:rPr>
                <w:rFonts w:ascii="Montserrat;sans-serif" w:hAnsi="Montserrat;sans-serif"/>
                <w:b/>
                <w:color w:val="7855FA"/>
                <w:sz w:val="17"/>
              </w:rPr>
              <w:t>5,325,418</w:t>
            </w:r>
          </w:p>
        </w:tc>
        <w:tc>
          <w:tcPr>
            <w:tcW w:w="29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Montserrat;sans-serif" w:hAnsi="Montserrat;sans-serif"/>
          <w:color w:val="000000"/>
          <w:sz w:val="16"/>
        </w:rPr>
      </w:pPr>
      <w:r>
        <w:rPr>
          <w:rFonts w:ascii="Montserrat;sans-serif" w:hAnsi="Montserrat;sans-serif"/>
          <w:color w:val="000000"/>
          <w:sz w:val="16"/>
        </w:rPr>
        <w:t>(1)</w:t>
      </w:r>
    </w:p>
    <w:p>
      <w:pPr>
        <w:pStyle w:val="TextBody"/>
        <w:bidi w:val="0"/>
        <w:spacing w:before="0" w:after="0"/>
        <w:jc w:val="both"/>
        <w:rPr>
          <w:rFonts w:ascii="Montserrat;sans-serif" w:hAnsi="Montserrat;sans-serif"/>
          <w:color w:val="000000"/>
          <w:sz w:val="16"/>
        </w:rPr>
      </w:pPr>
      <w:r>
        <w:rPr>
          <w:rFonts w:ascii="Montserrat;sans-serif" w:hAnsi="Montserrat;sans-serif"/>
          <w:color w:val="000000"/>
          <w:sz w:val="16"/>
        </w:rPr>
        <w:t>Consists of fees billed for professional services rendered in connection with the audit of our consolidated financial statements, including audited financial statements presented in our Annual Report on Form 10-K, review of the interim consolidated financial statements included in our quarterly reports and services normally provided in connection with regulatory filings.</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(2)</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Consists of fees billed for assurance and related services that are reasonably related to the performance of the audit or review of our consolidated financial statements and are not reported under “Audit fees.”</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(3)</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Consists of fees billed for professional services for tax compliance, tax advice, and tax planning. These services include assistance regarding federal, state, and international tax compliance.</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(4)</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Consists of fees outside of the categories noted above.</w:t>
      </w:r>
    </w:p>
    <w:p>
      <w:pPr>
        <w:pStyle w:val="TextBody"/>
        <w:bidi w:val="0"/>
        <w:spacing w:before="120" w:after="283"/>
        <w:jc w:val="both"/>
        <w:rPr>
          <w:rFonts w:ascii="Montserrat" w:hAnsi="Montserrat"/>
          <w:sz w:val="18"/>
        </w:rPr>
      </w:pPr>
      <w:r>
        <w:rPr>
          <w:rFonts w:ascii="Montserrat;sans-serif" w:hAnsi="Montserrat;sans-serif"/>
          <w:color w:val="000000"/>
          <w:sz w:val="18"/>
        </w:rPr>
        <w:t xml:space="preserve">Our Board believes that it is in the best interests of our company and our stockholders to approve the ratification of the selection of Deloitte &amp; Touche LLP as our independent registered public accounting firm for the fiscal year ending </w:t>
        <w:br/>
        <w:t xml:space="preserve">July 31, 2027. Accordingly, our Board unanimously recommends a vote </w:t>
      </w:r>
      <w:r>
        <w:rPr>
          <w:rFonts w:ascii="Montserrat;Montserrat Medium;sans-serif" w:hAnsi="Montserrat;Montserrat Medium;sans-serif"/>
          <w:b/>
          <w:color w:val="000000"/>
          <w:sz w:val="18"/>
        </w:rPr>
        <w:t>FOR</w:t>
      </w:r>
      <w:r>
        <w:rPr>
          <w:rFonts w:ascii="Montserrat" w:hAnsi="Montserrat"/>
          <w:color w:val="000000"/>
          <w:sz w:val="18"/>
        </w:rPr>
        <w:t xml:space="preserve"> </w:t>
      </w:r>
      <w:r>
        <w:rPr>
          <w:rFonts w:ascii="Montserrat;sans-serif" w:hAnsi="Montserrat;sans-serif"/>
          <w:color w:val="000000"/>
          <w:sz w:val="18"/>
        </w:rPr>
        <w:t>the approval of the ratification of our auditor.</w:t>
      </w:r>
    </w:p>
    <w:p>
      <w:pPr>
        <w:pStyle w:val="TextBody"/>
        <w:bidi w:val="0"/>
        <w:spacing w:before="120" w:after="283"/>
        <w:jc w:val="both"/>
        <w:rPr>
          <w:rFonts w:ascii="Montserrat" w:hAnsi="Montserrat"/>
          <w:sz w:val="18"/>
        </w:rPr>
      </w:pPr>
      <w:r>
        <w:rPr>
          <w:rFonts w:ascii="Montserrat;sans-serif" w:hAnsi="Montserrat;sans-serif"/>
          <w:color w:val="000000"/>
          <w:sz w:val="18"/>
        </w:rPr>
        <w:t xml:space="preserve">Approval of Proposal 2 requires </w:t>
      </w:r>
      <w:r>
        <w:rPr>
          <w:rFonts w:ascii="Montserrat;Montserrat Medium;sans-serif" w:hAnsi="Montserrat;Montserrat Medium;sans-serif"/>
          <w:b/>
          <w:color w:val="000000"/>
          <w:sz w:val="18"/>
        </w:rPr>
        <w:t>FOR</w:t>
      </w:r>
      <w:r>
        <w:rPr>
          <w:rFonts w:ascii="Montserrat" w:hAnsi="Montserrat"/>
          <w:color w:val="000000"/>
          <w:sz w:val="18"/>
        </w:rPr>
        <w:t xml:space="preserve"> </w:t>
      </w:r>
      <w:r>
        <w:rPr>
          <w:rFonts w:ascii="Montserrat;sans-serif" w:hAnsi="Montserrat;sans-serif"/>
          <w:color w:val="000000"/>
          <w:sz w:val="18"/>
        </w:rPr>
        <w:t>votes from the holders of a majority in voting power of the shares present at the Annual Meeting or represented by proxy thereat and entitled to vote on the proposal. An</w:t>
      </w:r>
      <w:r>
        <w:rPr>
          <w:rFonts w:ascii="Montserrat" w:hAnsi="Montserrat"/>
          <w:color w:val="000000"/>
          <w:sz w:val="18"/>
        </w:rPr>
        <w:t xml:space="preserve"> </w:t>
      </w:r>
      <w:r>
        <w:rPr>
          <w:rFonts w:ascii="Montserrat;Montserrat Medium;sans-serif" w:hAnsi="Montserrat;Montserrat Medium;sans-serif"/>
          <w:b/>
          <w:color w:val="000000"/>
          <w:sz w:val="18"/>
        </w:rPr>
        <w:t>ABSTAIN</w:t>
      </w:r>
      <w:r>
        <w:rPr>
          <w:rFonts w:ascii="Montserrat" w:hAnsi="Montserrat"/>
          <w:color w:val="000000"/>
          <w:sz w:val="18"/>
        </w:rPr>
        <w:t xml:space="preserve"> </w:t>
      </w:r>
      <w:r>
        <w:rPr>
          <w:rFonts w:ascii="Montserrat;sans-serif" w:hAnsi="Montserrat;sans-serif"/>
          <w:color w:val="000000"/>
          <w:sz w:val="18"/>
        </w:rPr>
        <w:t xml:space="preserve">vote will have the same effect as a vote </w:t>
      </w:r>
      <w:r>
        <w:rPr>
          <w:rFonts w:ascii="Montserrat;Montserrat Medium;sans-serif" w:hAnsi="Montserrat;Montserrat Medium;sans-serif"/>
          <w:b/>
          <w:color w:val="000000"/>
          <w:sz w:val="18"/>
        </w:rPr>
        <w:t>AGAINST</w:t>
      </w:r>
      <w:r>
        <w:rPr>
          <w:rFonts w:ascii="Montserrat" w:hAnsi="Montserrat"/>
          <w:color w:val="000000"/>
          <w:sz w:val="18"/>
        </w:rPr>
        <w:t xml:space="preserve"> </w:t>
      </w:r>
      <w:r>
        <w:rPr>
          <w:rFonts w:ascii="Montserrat;sans-serif" w:hAnsi="Montserrat;sans-serif"/>
          <w:color w:val="000000"/>
          <w:sz w:val="18"/>
        </w:rPr>
        <w:t>the proposal. Because this is a routine proposal, we do not expect any broker non-votes on this proposal.</w:t>
      </w:r>
    </w:p>
    <w:p>
      <w:pPr>
        <w:pStyle w:val="TextBody"/>
        <w:bidi w:val="0"/>
        <w:jc w:val="both"/>
        <w:rPr/>
      </w:pPr>
      <w:r>
        <w:rPr/>
        <w:t> </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2641"/>
        <w:gridCol w:w="331"/>
      </w:tblGrid>
      <w:tr>
        <w:trPr/>
        <w:tc>
          <w:tcPr>
            <w:tcW w:w="26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7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65" descr=""/>
                          <pic:cNvPicPr>
                            <a:picLocks noChangeAspect="1" noChangeArrowheads="1"/>
                          </pic:cNvPicPr>
                        </pic:nvPicPr>
                        <pic:blipFill>
                          <a:blip r:embed="rId71"/>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3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09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ind w:left="0" w:right="0" w:hanging="0"/>
        <w:jc w:val="left"/>
        <w:rPr>
          <w:rFonts w:ascii="Montserrat;sans-serif" w:hAnsi="Montserrat;sans-serif"/>
          <w:color w:val="000000"/>
          <w:sz w:val="13"/>
        </w:rPr>
      </w:pPr>
      <w:r>
        <w:rPr>
          <w:rFonts w:ascii="Montserrat;sans-serif" w:hAnsi="Montserrat;sans-serif"/>
          <w:color w:val="000000"/>
          <w:sz w:val="13"/>
        </w:rPr>
        <w:t>Proxy Voting Roadmap</w:t>
      </w:r>
    </w:p>
    <w:p>
      <w:pPr>
        <w:pStyle w:val="TextBody"/>
        <w:bidi w:val="0"/>
        <w:spacing w:before="60" w:after="283"/>
        <w:jc w:val="left"/>
        <w:rPr/>
      </w:pPr>
      <w:r>
        <w:rPr/>
        <w:t> </w:t>
      </w:r>
    </w:p>
    <w:p>
      <w:pPr>
        <w:pStyle w:val="TextBody"/>
        <w:bidi w:val="0"/>
        <w:jc w:val="left"/>
        <w:rPr/>
      </w:pPr>
      <w:r>
        <w:rPr/>
        <w:t> </w:t>
      </w:r>
    </w:p>
    <w:p>
      <w:pPr>
        <w:pStyle w:val="TextBody"/>
        <w:bidi w:val="0"/>
        <w:jc w:val="left"/>
        <w:rPr/>
      </w:pPr>
      <w:r>
        <w:rPr/>
        <w:t> </w:t>
      </w:r>
    </w:p>
    <w:p>
      <w:pPr>
        <w:pStyle w:val="Heading2"/>
        <w:bidi w:val="0"/>
        <w:jc w:val="both"/>
        <w:rPr>
          <w:rFonts w:ascii="Montserrat;sans-serif" w:hAnsi="Montserrat;sans-serif"/>
          <w:color w:val="7855FA"/>
          <w:sz w:val="28"/>
        </w:rPr>
      </w:pPr>
      <w:r>
        <w:rPr>
          <w:rFonts w:ascii="Montserrat;sans-serif" w:hAnsi="Montserrat;sans-serif"/>
          <w:color w:val="7855FA"/>
          <w:sz w:val="28"/>
        </w:rPr>
        <w:t>Proposal 3: Advisory Vote to Approve the Compensation of Our Named Executive Officers (See Page 38)</w:t>
      </w:r>
    </w:p>
    <w:p>
      <w:pPr>
        <w:pStyle w:val="TextBody"/>
        <w:bidi w:val="0"/>
        <w:jc w:val="both"/>
        <w:rPr/>
      </w:pPr>
      <w:r>
        <w:rPr/>
        <w:t> </w:t>
      </w:r>
    </w:p>
    <w:tbl>
      <w:tblPr>
        <w:tblW w:w="5558" w:type="dxa"/>
        <w:jc w:val="left"/>
        <w:tblInd w:w="0" w:type="dxa"/>
        <w:tblLayout w:type="fixed"/>
        <w:tblCellMar>
          <w:top w:w="28" w:type="dxa"/>
          <w:left w:w="28" w:type="dxa"/>
          <w:bottom w:w="28" w:type="dxa"/>
          <w:right w:w="28" w:type="dxa"/>
        </w:tblCellMar>
      </w:tblPr>
      <w:tblGrid>
        <w:gridCol w:w="356"/>
        <w:gridCol w:w="146"/>
        <w:gridCol w:w="5056"/>
      </w:tblGrid>
      <w:tr>
        <w:trPr/>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56" w:type="dxa"/>
            <w:tcBorders/>
            <w:vAlign w:val="center"/>
          </w:tcPr>
          <w:p>
            <w:pPr>
              <w:pStyle w:val="TableContents"/>
              <w:bidi w:val="0"/>
              <w:spacing w:before="0" w:after="283"/>
              <w:jc w:val="left"/>
              <w:rPr>
                <w:sz w:val="4"/>
                <w:szCs w:val="4"/>
              </w:rPr>
            </w:pPr>
            <w:r>
              <w:rPr>
                <w:sz w:val="4"/>
                <w:szCs w:val="4"/>
              </w:rPr>
            </w:r>
          </w:p>
        </w:tc>
      </w:tr>
      <w:tr>
        <w:trPr/>
        <w:tc>
          <w:tcPr>
            <w:tcW w:w="356" w:type="dxa"/>
            <w:tcBorders>
              <w:left w:val="single" w:sz="8" w:space="0" w:color="7855FA"/>
            </w:tcBorders>
            <w:shd w:fill="7855FA"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785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6" w:type="dxa"/>
            <w:tcBorders>
              <w:right w:val="single" w:sz="8" w:space="0" w:color="7855FA"/>
            </w:tcBorders>
            <w:shd w:fill="7855FA"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6" w:type="dxa"/>
            <w:tcBorders>
              <w:left w:val="single" w:sz="8" w:space="0" w:color="7855FA"/>
            </w:tcBorders>
            <w:shd w:fill="7855FA" w:val="clear"/>
            <w:tcMar>
              <w:top w:w="0" w:type="dxa"/>
              <w:bottom w:w="0" w:type="dxa"/>
              <w:right w:w="0" w:type="dxa"/>
            </w:tcMar>
            <w:vAlign w:val="center"/>
          </w:tcPr>
          <w:p>
            <w:pPr>
              <w:pStyle w:val="TableContents"/>
              <w:bidi w:val="0"/>
              <w:spacing w:before="0" w:after="283"/>
              <w:jc w:val="center"/>
              <w:rPr/>
            </w:pPr>
            <w:r>
              <w:rPr/>
              <w:drawing>
                <wp:inline distT="0" distB="0" distL="0" distR="0">
                  <wp:extent cx="161925" cy="161925"/>
                  <wp:effectExtent l="0" t="0" r="0" b="0"/>
                  <wp:docPr id="79"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67" descr=""/>
                          <pic:cNvPicPr>
                            <a:picLocks noChangeAspect="1" noChangeArrowheads="1"/>
                          </pic:cNvPicPr>
                        </pic:nvPicPr>
                        <pic:blipFill>
                          <a:blip r:embed="rId72"/>
                          <a:stretch>
                            <a:fillRect/>
                          </a:stretch>
                        </pic:blipFill>
                        <pic:spPr bwMode="auto">
                          <a:xfrm>
                            <a:off x="0" y="0"/>
                            <a:ext cx="161925" cy="161925"/>
                          </a:xfrm>
                          <a:prstGeom prst="rect">
                            <a:avLst/>
                          </a:prstGeom>
                        </pic:spPr>
                      </pic:pic>
                    </a:graphicData>
                  </a:graphic>
                </wp:inline>
              </w:drawing>
            </w:r>
          </w:p>
        </w:tc>
        <w:tc>
          <w:tcPr>
            <w:tcW w:w="146" w:type="dxa"/>
            <w:tcBorders/>
            <w:shd w:fill="7855FA" w:val="clear"/>
            <w:tcMar>
              <w:top w:w="0" w:type="dxa"/>
              <w:left w:w="0" w:type="dxa"/>
              <w:bottom w:w="0" w:type="dxa"/>
              <w:right w:w="0" w:type="dxa"/>
            </w:tcMar>
            <w:vAlign w:val="center"/>
          </w:tcPr>
          <w:p>
            <w:pPr>
              <w:pStyle w:val="TableContents"/>
              <w:bidi w:val="0"/>
              <w:spacing w:before="0" w:after="283"/>
              <w:jc w:val="left"/>
              <w:rPr/>
            </w:pPr>
            <w:r>
              <w:rPr/>
              <w:t> </w:t>
            </w:r>
          </w:p>
        </w:tc>
        <w:tc>
          <w:tcPr>
            <w:tcW w:w="5056" w:type="dxa"/>
            <w:tcBorders>
              <w:right w:val="single" w:sz="8" w:space="0" w:color="7855FA"/>
            </w:tcBorders>
            <w:shd w:fill="7855FA" w:val="clear"/>
            <w:tcMar>
              <w:top w:w="0" w:type="dxa"/>
              <w:left w:w="0" w:type="dxa"/>
              <w:bottom w:w="0" w:type="dxa"/>
            </w:tcMar>
            <w:vAlign w:val="center"/>
          </w:tcPr>
          <w:p>
            <w:pPr>
              <w:pStyle w:val="TableContents"/>
              <w:bidi w:val="0"/>
              <w:spacing w:before="0" w:after="283"/>
              <w:jc w:val="left"/>
              <w:rPr>
                <w:rFonts w:ascii="Montserrat" w:hAnsi="Montserrat"/>
                <w:sz w:val="17"/>
              </w:rPr>
            </w:pPr>
            <w:r>
              <w:rPr>
                <w:rFonts w:ascii="Montserrat;Montserrat Medium;sans-serif" w:hAnsi="Montserrat;Montserrat Medium;sans-serif"/>
                <w:b/>
                <w:color w:val="FFFFFF"/>
                <w:sz w:val="17"/>
              </w:rPr>
              <w:t>Our Board Recommends a</w:t>
            </w:r>
            <w:r>
              <w:rPr>
                <w:rFonts w:ascii="Montserrat" w:hAnsi="Montserrat"/>
                <w:color w:val="FFFFFF"/>
                <w:sz w:val="17"/>
              </w:rPr>
              <w:t xml:space="preserve"> </w:t>
            </w:r>
            <w:r>
              <w:rPr>
                <w:rFonts w:ascii="Montserrat;sans-serif" w:hAnsi="Montserrat;sans-serif"/>
                <w:b/>
                <w:color w:val="FFFFFF"/>
                <w:sz w:val="17"/>
              </w:rPr>
              <w:t>VOTE FOR</w:t>
            </w:r>
            <w:r>
              <w:rPr>
                <w:rFonts w:ascii="Montserrat" w:hAnsi="Montserrat"/>
                <w:color w:val="FFFFFF"/>
                <w:sz w:val="17"/>
              </w:rPr>
              <w:t xml:space="preserve"> </w:t>
            </w:r>
            <w:r>
              <w:rPr>
                <w:rFonts w:ascii="Montserrat;Montserrat Medium;sans-serif" w:hAnsi="Montserrat;Montserrat Medium;sans-serif"/>
                <w:b/>
                <w:color w:val="FFFFFF"/>
                <w:sz w:val="17"/>
              </w:rPr>
              <w:t>this Proposal 3.</w:t>
            </w:r>
          </w:p>
        </w:tc>
      </w:tr>
      <w:tr>
        <w:trPr/>
        <w:tc>
          <w:tcPr>
            <w:tcW w:w="356" w:type="dxa"/>
            <w:tcBorders>
              <w:left w:val="single" w:sz="8" w:space="0" w:color="7855FA"/>
            </w:tcBorders>
            <w:shd w:fill="7855FA"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785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6" w:type="dxa"/>
            <w:tcBorders>
              <w:right w:val="single" w:sz="8" w:space="0" w:color="7855FA"/>
            </w:tcBorders>
            <w:shd w:fill="7855FA"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rFonts w:ascii="Montserrat;sans-serif" w:hAnsi="Montserrat;sans-serif"/>
          <w:color w:val="000000"/>
          <w:sz w:val="18"/>
        </w:rPr>
      </w:pPr>
      <w:r>
        <w:rPr>
          <w:rFonts w:ascii="Montserrat;sans-serif" w:hAnsi="Montserrat;sans-serif"/>
          <w:color w:val="000000"/>
          <w:sz w:val="18"/>
        </w:rPr>
        <w:t>We endeavor to maintain sound governance standards consistent with our executive compensation policies and practices. The Compensation Committee evaluates our executive compensation program on a regular basis to ensure consistency with our short-term and long-term goals, given the dynamic nature of our business and the market in which we compete for executive talent.</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Our executive compensation program is designed to attract, motivate, and retain highly qualified executive officers who drive our success and to align the interests of our executive officers with the long-term interests of our stockholders. The section “</w:t>
      </w:r>
      <w:r>
        <w:rPr>
          <w:rFonts w:ascii="Montserrat;sans-serif" w:hAnsi="Montserrat;sans-serif"/>
          <w:color w:val="7855FA"/>
          <w:sz w:val="18"/>
        </w:rPr>
        <w:t>Compensation Discussion and Analysis</w:t>
      </w:r>
      <w:r>
        <w:rPr>
          <w:rFonts w:ascii="Montserrat;sans-serif" w:hAnsi="Montserrat;sans-serif"/>
          <w:color w:val="000000"/>
          <w:sz w:val="18"/>
        </w:rPr>
        <w:t>” provides an overview of our executive compensation philosophy, the overall objectives of our executive compensation program, and each component of the program. In addition, we explain how and why the Compensation Committee arrived at the specific compensation policies and decisions involving our executive compensation program.</w:t>
      </w:r>
    </w:p>
    <w:p>
      <w:pPr>
        <w:pStyle w:val="TextBody"/>
        <w:bidi w:val="0"/>
        <w:spacing w:before="120" w:after="283"/>
        <w:jc w:val="both"/>
        <w:rPr>
          <w:rFonts w:ascii="Montserrat" w:hAnsi="Montserrat"/>
          <w:sz w:val="18"/>
        </w:rPr>
      </w:pPr>
      <w:r>
        <w:rPr>
          <w:rFonts w:ascii="Montserrat;sans-serif" w:hAnsi="Montserrat;sans-serif"/>
          <w:color w:val="000000"/>
          <w:sz w:val="18"/>
        </w:rPr>
        <w:t xml:space="preserve">While the say-on-pay vote is advisory and non-binding, it will provide important information to us regarding stockholder sentiment about our executive compensation philosophy, policies, and practices, which the Compensation Committee will be able to consider when determining executive compensation for the remainder of the current fiscal year and beyond. Our Board believes that our executive compensation program was designed appropriately and is working to ensure management’s interests are aligned with our stockholders’ interests to support long-term value creation. Accordingly, our Board unanimously recommends a vote </w:t>
      </w:r>
      <w:r>
        <w:rPr>
          <w:rFonts w:ascii="Montserrat;Montserrat Medium;sans-serif" w:hAnsi="Montserrat;Montserrat Medium;sans-serif"/>
          <w:b/>
          <w:color w:val="000000"/>
          <w:sz w:val="18"/>
        </w:rPr>
        <w:t>FOR</w:t>
      </w:r>
      <w:r>
        <w:rPr>
          <w:rFonts w:ascii="Montserrat" w:hAnsi="Montserrat"/>
          <w:color w:val="000000"/>
          <w:sz w:val="18"/>
        </w:rPr>
        <w:t xml:space="preserve"> </w:t>
      </w:r>
      <w:r>
        <w:rPr>
          <w:rFonts w:ascii="Montserrat;sans-serif" w:hAnsi="Montserrat;sans-serif"/>
          <w:color w:val="000000"/>
          <w:sz w:val="18"/>
        </w:rPr>
        <w:t>the approval of the compensation of our named executive officers (“NEOs”).</w:t>
      </w:r>
    </w:p>
    <w:p>
      <w:pPr>
        <w:pStyle w:val="TextBody"/>
        <w:bidi w:val="0"/>
        <w:spacing w:before="120" w:after="283"/>
        <w:jc w:val="both"/>
        <w:rPr>
          <w:rFonts w:ascii="Montserrat" w:hAnsi="Montserrat"/>
          <w:sz w:val="18"/>
        </w:rPr>
      </w:pPr>
      <w:r>
        <w:rPr>
          <w:rFonts w:ascii="Montserrat;sans-serif" w:hAnsi="Montserrat;sans-serif"/>
          <w:color w:val="000000"/>
          <w:sz w:val="18"/>
        </w:rPr>
        <w:t xml:space="preserve">Approval of Proposal 3 requires </w:t>
      </w:r>
      <w:r>
        <w:rPr>
          <w:rFonts w:ascii="Montserrat;Montserrat Medium;sans-serif" w:hAnsi="Montserrat;Montserrat Medium;sans-serif"/>
          <w:b/>
          <w:color w:val="000000"/>
          <w:sz w:val="18"/>
        </w:rPr>
        <w:t>FOR</w:t>
      </w:r>
      <w:r>
        <w:rPr>
          <w:rFonts w:ascii="Montserrat" w:hAnsi="Montserrat"/>
          <w:color w:val="000000"/>
          <w:sz w:val="18"/>
        </w:rPr>
        <w:t xml:space="preserve"> </w:t>
      </w:r>
      <w:r>
        <w:rPr>
          <w:rFonts w:ascii="Montserrat;sans-serif" w:hAnsi="Montserrat;sans-serif"/>
          <w:color w:val="000000"/>
          <w:sz w:val="18"/>
        </w:rPr>
        <w:t xml:space="preserve">votes from the holders of a majority in voting power of the shares present at the Annual Meeting or represented by proxy thereat and entitled to vote on the proposal. Broker non-votes will not be considered entitled to vote on this proposal, and therefore will not affect the outcome of Proposal 3, but abstentions will have the same effect as a vote </w:t>
      </w:r>
      <w:r>
        <w:rPr>
          <w:rFonts w:ascii="Montserrat;Montserrat Medium;sans-serif" w:hAnsi="Montserrat;Montserrat Medium;sans-serif"/>
          <w:b/>
          <w:color w:val="000000"/>
          <w:sz w:val="18"/>
        </w:rPr>
        <w:t>AGAINST</w:t>
      </w:r>
      <w:r>
        <w:rPr>
          <w:rFonts w:ascii="Montserrat" w:hAnsi="Montserrat"/>
          <w:color w:val="000000"/>
          <w:sz w:val="18"/>
        </w:rPr>
        <w:t xml:space="preserve"> </w:t>
      </w:r>
      <w:r>
        <w:rPr>
          <w:rFonts w:ascii="Montserrat;sans-serif" w:hAnsi="Montserrat;sans-serif"/>
          <w:color w:val="000000"/>
          <w:sz w:val="18"/>
        </w:rPr>
        <w:t>the proposal.</w:t>
      </w:r>
    </w:p>
    <w:p>
      <w:pPr>
        <w:pStyle w:val="Heading2"/>
        <w:bidi w:val="0"/>
        <w:spacing w:before="360" w:after="283"/>
        <w:jc w:val="both"/>
        <w:rPr>
          <w:rFonts w:ascii="Montserrat;sans-serif" w:hAnsi="Montserrat;sans-serif"/>
          <w:color w:val="7855FA"/>
          <w:sz w:val="28"/>
        </w:rPr>
      </w:pPr>
      <w:r>
        <w:rPr>
          <w:rFonts w:ascii="Montserrat;sans-serif" w:hAnsi="Montserrat;sans-serif"/>
          <w:color w:val="7855FA"/>
          <w:sz w:val="28"/>
        </w:rPr>
        <w:t>Proposal 4: Approval of an Amendment to the Amended and Restated 2016 Equity Incentive Plan to Increase the Share Reserve (See Page 74)</w:t>
      </w:r>
    </w:p>
    <w:p>
      <w:pPr>
        <w:pStyle w:val="Heading2"/>
        <w:bidi w:val="0"/>
        <w:jc w:val="left"/>
        <w:rPr/>
      </w:pPr>
      <w:r>
        <w:rPr/>
        <w:t> </w:t>
      </w:r>
    </w:p>
    <w:tbl>
      <w:tblPr>
        <w:tblW w:w="5558" w:type="dxa"/>
        <w:jc w:val="left"/>
        <w:tblInd w:w="0" w:type="dxa"/>
        <w:tblLayout w:type="fixed"/>
        <w:tblCellMar>
          <w:top w:w="28" w:type="dxa"/>
          <w:left w:w="28" w:type="dxa"/>
          <w:bottom w:w="28" w:type="dxa"/>
          <w:right w:w="28" w:type="dxa"/>
        </w:tblCellMar>
      </w:tblPr>
      <w:tblGrid>
        <w:gridCol w:w="356"/>
        <w:gridCol w:w="146"/>
        <w:gridCol w:w="5056"/>
      </w:tblGrid>
      <w:tr>
        <w:trPr/>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56" w:type="dxa"/>
            <w:tcBorders/>
            <w:vAlign w:val="center"/>
          </w:tcPr>
          <w:p>
            <w:pPr>
              <w:pStyle w:val="TableContents"/>
              <w:bidi w:val="0"/>
              <w:spacing w:before="0" w:after="283"/>
              <w:jc w:val="left"/>
              <w:rPr>
                <w:sz w:val="4"/>
                <w:szCs w:val="4"/>
              </w:rPr>
            </w:pPr>
            <w:r>
              <w:rPr>
                <w:sz w:val="4"/>
                <w:szCs w:val="4"/>
              </w:rPr>
            </w:r>
          </w:p>
        </w:tc>
      </w:tr>
      <w:tr>
        <w:trPr/>
        <w:tc>
          <w:tcPr>
            <w:tcW w:w="356" w:type="dxa"/>
            <w:tcBorders>
              <w:left w:val="single" w:sz="8" w:space="0" w:color="7855FA"/>
            </w:tcBorders>
            <w:shd w:fill="7855FA"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785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6" w:type="dxa"/>
            <w:tcBorders>
              <w:right w:val="single" w:sz="8" w:space="0" w:color="7855FA"/>
            </w:tcBorders>
            <w:shd w:fill="7855FA"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6" w:type="dxa"/>
            <w:tcBorders>
              <w:left w:val="single" w:sz="8" w:space="0" w:color="7855FA"/>
            </w:tcBorders>
            <w:shd w:fill="7855FA" w:val="clear"/>
            <w:tcMar>
              <w:top w:w="0" w:type="dxa"/>
              <w:bottom w:w="0" w:type="dxa"/>
              <w:right w:w="0" w:type="dxa"/>
            </w:tcMar>
            <w:vAlign w:val="center"/>
          </w:tcPr>
          <w:p>
            <w:pPr>
              <w:pStyle w:val="TableContents"/>
              <w:bidi w:val="0"/>
              <w:spacing w:before="0" w:after="283"/>
              <w:jc w:val="center"/>
              <w:rPr/>
            </w:pPr>
            <w:r>
              <w:rPr/>
              <w:drawing>
                <wp:inline distT="0" distB="0" distL="0" distR="0">
                  <wp:extent cx="161925" cy="161925"/>
                  <wp:effectExtent l="0" t="0" r="0" b="0"/>
                  <wp:docPr id="80"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68" descr=""/>
                          <pic:cNvPicPr>
                            <a:picLocks noChangeAspect="1" noChangeArrowheads="1"/>
                          </pic:cNvPicPr>
                        </pic:nvPicPr>
                        <pic:blipFill>
                          <a:blip r:embed="rId73"/>
                          <a:stretch>
                            <a:fillRect/>
                          </a:stretch>
                        </pic:blipFill>
                        <pic:spPr bwMode="auto">
                          <a:xfrm>
                            <a:off x="0" y="0"/>
                            <a:ext cx="161925" cy="161925"/>
                          </a:xfrm>
                          <a:prstGeom prst="rect">
                            <a:avLst/>
                          </a:prstGeom>
                        </pic:spPr>
                      </pic:pic>
                    </a:graphicData>
                  </a:graphic>
                </wp:inline>
              </w:drawing>
            </w:r>
          </w:p>
        </w:tc>
        <w:tc>
          <w:tcPr>
            <w:tcW w:w="146" w:type="dxa"/>
            <w:tcBorders/>
            <w:shd w:fill="7855FA" w:val="clear"/>
            <w:tcMar>
              <w:top w:w="0" w:type="dxa"/>
              <w:left w:w="0" w:type="dxa"/>
              <w:bottom w:w="0" w:type="dxa"/>
              <w:right w:w="0" w:type="dxa"/>
            </w:tcMar>
            <w:vAlign w:val="center"/>
          </w:tcPr>
          <w:p>
            <w:pPr>
              <w:pStyle w:val="TableContents"/>
              <w:bidi w:val="0"/>
              <w:spacing w:before="0" w:after="283"/>
              <w:jc w:val="left"/>
              <w:rPr/>
            </w:pPr>
            <w:r>
              <w:rPr/>
              <w:t> </w:t>
            </w:r>
          </w:p>
        </w:tc>
        <w:tc>
          <w:tcPr>
            <w:tcW w:w="5056" w:type="dxa"/>
            <w:tcBorders>
              <w:right w:val="single" w:sz="8" w:space="0" w:color="7855FA"/>
            </w:tcBorders>
            <w:shd w:fill="7855FA" w:val="clear"/>
            <w:tcMar>
              <w:top w:w="0" w:type="dxa"/>
              <w:left w:w="0" w:type="dxa"/>
              <w:bottom w:w="0" w:type="dxa"/>
            </w:tcMar>
            <w:vAlign w:val="center"/>
          </w:tcPr>
          <w:p>
            <w:pPr>
              <w:pStyle w:val="TableContents"/>
              <w:bidi w:val="0"/>
              <w:spacing w:before="0" w:after="283"/>
              <w:jc w:val="left"/>
              <w:rPr>
                <w:rFonts w:ascii="Montserrat" w:hAnsi="Montserrat"/>
                <w:sz w:val="17"/>
              </w:rPr>
            </w:pPr>
            <w:r>
              <w:rPr>
                <w:rFonts w:ascii="Montserrat;Montserrat Medium;sans-serif" w:hAnsi="Montserrat;Montserrat Medium;sans-serif"/>
                <w:b/>
                <w:color w:val="FFFFFF"/>
                <w:sz w:val="17"/>
              </w:rPr>
              <w:t>Our Board Recommends a</w:t>
            </w:r>
            <w:r>
              <w:rPr>
                <w:rFonts w:ascii="Montserrat" w:hAnsi="Montserrat"/>
                <w:color w:val="FFFFFF"/>
                <w:sz w:val="17"/>
              </w:rPr>
              <w:t xml:space="preserve"> </w:t>
            </w:r>
            <w:r>
              <w:rPr>
                <w:rFonts w:ascii="Montserrat;sans-serif" w:hAnsi="Montserrat;sans-serif"/>
                <w:b/>
                <w:color w:val="FFFFFF"/>
                <w:sz w:val="17"/>
              </w:rPr>
              <w:t>VOTE FOR</w:t>
            </w:r>
            <w:r>
              <w:rPr>
                <w:rFonts w:ascii="Montserrat" w:hAnsi="Montserrat"/>
                <w:color w:val="FFFFFF"/>
                <w:sz w:val="17"/>
              </w:rPr>
              <w:t xml:space="preserve"> </w:t>
            </w:r>
            <w:r>
              <w:rPr>
                <w:rFonts w:ascii="Montserrat;Montserrat Medium;sans-serif" w:hAnsi="Montserrat;Montserrat Medium;sans-serif"/>
                <w:b/>
                <w:color w:val="FFFFFF"/>
                <w:sz w:val="17"/>
              </w:rPr>
              <w:t>this Proposal 4.</w:t>
            </w:r>
          </w:p>
        </w:tc>
      </w:tr>
      <w:tr>
        <w:trPr/>
        <w:tc>
          <w:tcPr>
            <w:tcW w:w="356" w:type="dxa"/>
            <w:tcBorders>
              <w:left w:val="single" w:sz="8" w:space="0" w:color="7855FA"/>
            </w:tcBorders>
            <w:shd w:fill="7855FA"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785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6" w:type="dxa"/>
            <w:tcBorders>
              <w:right w:val="single" w:sz="8" w:space="0" w:color="7855FA"/>
            </w:tcBorders>
            <w:shd w:fill="7855FA"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spacing w:before="120" w:after="283"/>
        <w:jc w:val="both"/>
        <w:rPr>
          <w:rFonts w:ascii="Montserrat;sans-serif" w:hAnsi="Montserrat;sans-serif"/>
          <w:b/>
          <w:color w:val="000000"/>
          <w:sz w:val="18"/>
        </w:rPr>
      </w:pPr>
      <w:r>
        <w:rPr>
          <w:rFonts w:ascii="Montserrat;sans-serif" w:hAnsi="Montserrat;sans-serif"/>
          <w:b/>
          <w:color w:val="000000"/>
          <w:sz w:val="18"/>
        </w:rPr>
        <w:t>Purpose of the Proposal</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We are seeking stockholder approval of an amendment to our Amended and Restated 2016 Equity Incentive Plan (the “Restated Plan”) that would increase the number of shares of our Class A common stock available for future awards by 7,000,000 shares (the “Amendment”). Other than the increase in the share reserve, no material provisions of the Restated Plan are being amended.</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Based on the Compensation Committee’s recommendation, our Board adopted the Amendment on October 18, 2026, subject to stockholder approval at the Annual Meeting.</w:t>
      </w:r>
    </w:p>
    <w:p>
      <w:pPr>
        <w:pStyle w:val="TextBody"/>
        <w:bidi w:val="0"/>
        <w:spacing w:before="360" w:after="283"/>
        <w:jc w:val="both"/>
        <w:rPr>
          <w:rFonts w:ascii="Montserrat;sans-serif" w:hAnsi="Montserrat;sans-serif"/>
          <w:b/>
          <w:color w:val="000000"/>
          <w:sz w:val="18"/>
        </w:rPr>
      </w:pPr>
      <w:r>
        <w:rPr>
          <w:rFonts w:ascii="Montserrat;sans-serif" w:hAnsi="Montserrat;sans-serif"/>
          <w:b/>
          <w:color w:val="000000"/>
          <w:sz w:val="18"/>
        </w:rPr>
        <w:t>Rationale for Approval</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Equity awards are an important component of our compensation program and support our ability to recruit, incentivize and retain employees in a highly competitive market.</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Equity awards align employees’ interests with those of stockholders through ownership and reward contributions to long-term performance and stockholder value creation.</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We have managed our equity program responsibly, with a burn rate below 3% in fiscal years 2025 and 2026.</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301"/>
        <w:gridCol w:w="2671"/>
      </w:tblGrid>
      <w:tr>
        <w:trPr/>
        <w:tc>
          <w:tcPr>
            <w:tcW w:w="30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10</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81"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69" descr=""/>
                          <pic:cNvPicPr>
                            <a:picLocks noChangeAspect="1" noChangeArrowheads="1"/>
                          </pic:cNvPicPr>
                        </pic:nvPicPr>
                        <pic:blipFill>
                          <a:blip r:embed="rId74"/>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ind w:left="0" w:right="0" w:hanging="0"/>
        <w:jc w:val="right"/>
        <w:rPr>
          <w:rFonts w:ascii="Montserrat;sans-serif" w:hAnsi="Montserrat;sans-serif"/>
          <w:color w:val="000000"/>
          <w:sz w:val="13"/>
        </w:rPr>
      </w:pPr>
      <w:r>
        <w:rPr>
          <w:rFonts w:ascii="Montserrat;sans-serif" w:hAnsi="Montserrat;sans-serif"/>
          <w:color w:val="000000"/>
          <w:sz w:val="13"/>
        </w:rPr>
        <w:t>Proxy Voting Roadmap</w:t>
      </w:r>
    </w:p>
    <w:p>
      <w:pPr>
        <w:pStyle w:val="TextBody"/>
        <w:bidi w:val="0"/>
        <w:spacing w:before="60" w:after="283"/>
        <w:jc w:val="right"/>
        <w:rPr/>
      </w:pPr>
      <w:r>
        <w:rPr/>
        <w:t> </w:t>
      </w:r>
    </w:p>
    <w:p>
      <w:pPr>
        <w:pStyle w:val="TextBody"/>
        <w:bidi w:val="0"/>
        <w:jc w:val="right"/>
        <w:rPr/>
      </w:pPr>
      <w:r>
        <w:rPr/>
        <w:t> </w:t>
      </w:r>
    </w:p>
    <w:p>
      <w:pPr>
        <w:pStyle w:val="TextBody"/>
        <w:bidi w:val="0"/>
        <w:jc w:val="right"/>
        <w:rPr/>
      </w:pPr>
      <w:r>
        <w:rPr/>
        <w:t> </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Stockholders approved the Restated Plan in 2025. Since that approval, the Compensation Committee has continued to review the share reserve in light of anticipated equity needs and the timing of our annual grant cycles. Because our November 2026 annual refresh grants are expected to occur before stockholders vote on this proposal and the proposed increase is intended to provide capacity through at least our November 2027 annual refresh cycle, the Compensation Committee believes it is prudent to seek a measured increase at this time.</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Restated Plan includes a number of stockholder-friendly features, including: no annual evergreen provision, conservative share recycling, no repricing or exchange of awards without stockholder approval, no dividends on unvested awards, generally non-transferable awards, awards subject to our compensation recovery policy where applicable, and no automatic vesting of awards held by executives, employees or consultants solely upon a change in control unless an award is not assumed or substituted.</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If stockholders do not approve the Amendment, the Restated Plan will remain in effect with its existing share reserve. However, our ability to continue making equity awards at anticipated levels could become constrained over time, which may require greater reliance on other forms of compensation, including cash-based compensation.</w:t>
      </w:r>
    </w:p>
    <w:p>
      <w:pPr>
        <w:pStyle w:val="TextBody"/>
        <w:bidi w:val="0"/>
        <w:spacing w:before="360" w:after="283"/>
        <w:jc w:val="both"/>
        <w:rPr>
          <w:rFonts w:ascii="Montserrat;sans-serif" w:hAnsi="Montserrat;sans-serif"/>
          <w:b/>
          <w:color w:val="000000"/>
          <w:sz w:val="18"/>
        </w:rPr>
      </w:pPr>
      <w:r>
        <w:rPr>
          <w:rFonts w:ascii="Montserrat;sans-serif" w:hAnsi="Montserrat;sans-serif"/>
          <w:b/>
          <w:color w:val="000000"/>
          <w:sz w:val="18"/>
        </w:rPr>
        <w:t>Share Reserve and Potential Dilution</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As of the Record Date, approximately 9,941,608 shares were subject to outstanding equity awards and approximately 14,493,055 shares remained available for future awards under the Restated Plan. If the Amendment is approved, total overhang, defined as outstanding awards plus shares available for future awards divided by shares outstanding, would increase to approximately 11.5%.</w:t>
      </w:r>
    </w:p>
    <w:p>
      <w:pPr>
        <w:pStyle w:val="TextBody"/>
        <w:bidi w:val="0"/>
        <w:spacing w:before="120" w:after="283"/>
        <w:jc w:val="both"/>
        <w:rPr>
          <w:rFonts w:ascii="Montserrat" w:hAnsi="Montserrat"/>
          <w:sz w:val="18"/>
        </w:rPr>
      </w:pPr>
      <w:r>
        <w:rPr>
          <w:rFonts w:ascii="Montserrat;sans-serif" w:hAnsi="Montserrat;sans-serif"/>
          <w:color w:val="000000"/>
          <w:sz w:val="18"/>
        </w:rPr>
        <w:t xml:space="preserve">Approval of Proposal 4 requires the affirmative vote of a majority of the voting power of the shares present at the Annual Meeting or represented by proxy and entitled to vote on the proposal. Broker non-votes will not affect the outcome of the proposal, and abstentions will have the same effect as votes </w:t>
      </w:r>
      <w:r>
        <w:rPr>
          <w:rFonts w:ascii="Montserrat;Montserrat Medium;sans-serif" w:hAnsi="Montserrat;Montserrat Medium;sans-serif"/>
          <w:b/>
          <w:color w:val="000000"/>
          <w:sz w:val="18"/>
        </w:rPr>
        <w:t xml:space="preserve">AGAINST </w:t>
      </w:r>
      <w:r>
        <w:rPr>
          <w:rFonts w:ascii="Montserrat;sans-serif" w:hAnsi="Montserrat;sans-serif"/>
          <w:color w:val="000000"/>
          <w:sz w:val="18"/>
        </w:rPr>
        <w:t>the proposal.</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2641"/>
        <w:gridCol w:w="331"/>
      </w:tblGrid>
      <w:tr>
        <w:trPr/>
        <w:tc>
          <w:tcPr>
            <w:tcW w:w="26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82"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1" descr=""/>
                          <pic:cNvPicPr>
                            <a:picLocks noChangeAspect="1" noChangeArrowheads="1"/>
                          </pic:cNvPicPr>
                        </pic:nvPicPr>
                        <pic:blipFill>
                          <a:blip r:embed="rId75"/>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3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11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pPr>
      <w:r>
        <w:rPr/>
        <w:t> </w:t>
      </w:r>
    </w:p>
    <w:p>
      <w:pPr>
        <w:pStyle w:val="TextBody"/>
        <w:bidi w:val="0"/>
        <w:spacing w:before="60" w:after="283"/>
        <w:jc w:val="right"/>
        <w:rPr/>
      </w:pPr>
      <w:r>
        <w:rPr/>
        <w:t> </w:t>
      </w:r>
    </w:p>
    <w:p>
      <w:pPr>
        <w:pStyle w:val="TextBody"/>
        <w:bidi w:val="0"/>
        <w:jc w:val="right"/>
        <w:rPr/>
      </w:pPr>
      <w:r>
        <w:rPr/>
        <w:t> </w:t>
      </w:r>
    </w:p>
    <w:p>
      <w:pPr>
        <w:pStyle w:val="TextBody"/>
        <w:bidi w:val="0"/>
        <w:jc w:val="right"/>
        <w:rPr/>
      </w:pPr>
      <w:r>
        <w:rPr/>
        <w:t> </w:t>
      </w:r>
    </w:p>
    <w:p>
      <w:pPr>
        <w:pStyle w:val="Heading1"/>
        <w:bidi w:val="0"/>
        <w:jc w:val="left"/>
        <w:rPr>
          <w:rFonts w:ascii="Montserrat;sans-serif" w:hAnsi="Montserrat;sans-serif"/>
          <w:color w:val="000000"/>
          <w:sz w:val="56"/>
        </w:rPr>
      </w:pPr>
      <w:bookmarkStart w:id="5" w:name="corporate_governance"/>
      <w:bookmarkEnd w:id="5"/>
      <w:r>
        <w:rPr>
          <w:rFonts w:ascii="Montserrat;sans-serif" w:hAnsi="Montserrat;sans-serif"/>
          <w:color w:val="000000"/>
          <w:sz w:val="56"/>
        </w:rPr>
        <w:t>Corporate Governance</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We are strongly committed to good corporate governance practices. These practices provide an important framework within which our Board and management can pursue our strategic objectives for the benefit of our stockholders. Our Board has adopted corporate governance guidelines that set forth the role of our Board, director independence standards, Board structure and functions, director selection considerations, and other governance policies. In addition, our Board has adopted written charters for its standing committees (the Audit Committee, the Compensation Committee, the Nominating and Corporate Governance Committee, and the Security and Privacy Committee), as well as a code of business conduct and ethics that applies to all of our employees, officers and directors. Agents and contractors of our company are also expected to abide by our code of business conduct and ethics. The Nominating and Corporate Governance Committee reviews the corporate governance guidelines annually and recommends changes to our Board as warranted. The corporate governance guidelines, charters of the Audit, Compensation, and Nominating and Corporate Governance Committees, the code of business conduct and ethics, and any waivers or amendments to the code of business conduct and ethics, are all available in the “</w:t>
      </w:r>
      <w:r>
        <w:rPr>
          <w:rFonts w:ascii="Montserrat;sans-serif" w:hAnsi="Montserrat;sans-serif"/>
          <w:color w:val="7855FA"/>
          <w:sz w:val="18"/>
        </w:rPr>
        <w:t>Governance Documents</w:t>
      </w:r>
      <w:r>
        <w:rPr>
          <w:rFonts w:ascii="Montserrat;sans-serif" w:hAnsi="Montserrat;sans-serif"/>
          <w:color w:val="000000"/>
          <w:sz w:val="18"/>
        </w:rPr>
        <w:t>” section of our investor relations website at http://ir.nutanix.com. Information contained on or accessible through our website is not incorporated by reference herein and is not a part of this proxy statement.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We value the perspectives of our stockholders and are committed to ongoing, proactive engagement and transparent dialogue with our investors. We take stockholder feedback seriously and have a track record of responsiveness. Feedback received through our engagement with stockholders is shared with, and considered by, our Board and its committees and has informed a number of the governance enhancements we have adopted over time. For example, reflecting feedback from our stockholders, we completed the declassification of our Board as of the 2025 Annual Meeting, and as a result, all directors stand for election annually to one-year terms.</w:t>
      </w:r>
    </w:p>
    <w:p>
      <w:pPr>
        <w:pStyle w:val="Heading2"/>
        <w:bidi w:val="0"/>
        <w:spacing w:before="360" w:after="283"/>
        <w:jc w:val="left"/>
        <w:rPr>
          <w:rFonts w:ascii="Montserrat;sans-serif" w:hAnsi="Montserrat;sans-serif"/>
          <w:color w:val="7855FA"/>
          <w:sz w:val="28"/>
        </w:rPr>
      </w:pPr>
      <w:bookmarkStart w:id="6" w:name="board_of_directors_and_its_committees"/>
      <w:bookmarkEnd w:id="6"/>
      <w:r>
        <w:rPr>
          <w:rFonts w:ascii="Montserrat;sans-serif" w:hAnsi="Montserrat;sans-serif"/>
          <w:color w:val="7855FA"/>
          <w:sz w:val="28"/>
        </w:rPr>
        <w:t>Board of Directors and Its Committees</w:t>
      </w:r>
    </w:p>
    <w:p>
      <w:pPr>
        <w:pStyle w:val="TextBody"/>
        <w:bidi w:val="0"/>
        <w:spacing w:before="360" w:after="283"/>
        <w:jc w:val="left"/>
        <w:rPr>
          <w:rFonts w:ascii="Montserrat;sans-serif" w:hAnsi="Montserrat;sans-serif"/>
          <w:b/>
          <w:color w:val="000000"/>
          <w:sz w:val="24"/>
        </w:rPr>
      </w:pPr>
      <w:r>
        <w:rPr>
          <w:rFonts w:ascii="Montserrat;sans-serif" w:hAnsi="Montserrat;sans-serif"/>
          <w:b/>
          <w:color w:val="000000"/>
          <w:sz w:val="24"/>
        </w:rPr>
        <w:t>Current Composition of the Board of Directors and Its Committees</w:t>
      </w:r>
    </w:p>
    <w:p>
      <w:pPr>
        <w:pStyle w:val="TextBody"/>
        <w:bidi w:val="0"/>
        <w:jc w:val="both"/>
        <w:rPr/>
      </w:pPr>
      <w:r>
        <w:rPr/>
        <w:t> </w:t>
      </w:r>
    </w:p>
    <w:tbl>
      <w:tblPr>
        <w:tblW w:w="10733" w:type="dxa"/>
        <w:jc w:val="left"/>
        <w:tblInd w:w="0" w:type="dxa"/>
        <w:tblLayout w:type="fixed"/>
        <w:tblCellMar>
          <w:top w:w="28" w:type="dxa"/>
          <w:left w:w="28" w:type="dxa"/>
          <w:bottom w:w="28" w:type="dxa"/>
          <w:right w:w="28" w:type="dxa"/>
        </w:tblCellMar>
      </w:tblPr>
      <w:tblGrid>
        <w:gridCol w:w="1394"/>
        <w:gridCol w:w="146"/>
        <w:gridCol w:w="496"/>
        <w:gridCol w:w="146"/>
        <w:gridCol w:w="1231"/>
        <w:gridCol w:w="146"/>
        <w:gridCol w:w="1576"/>
        <w:gridCol w:w="146"/>
        <w:gridCol w:w="1321"/>
        <w:gridCol w:w="146"/>
        <w:gridCol w:w="1231"/>
        <w:gridCol w:w="146"/>
        <w:gridCol w:w="1426"/>
        <w:gridCol w:w="146"/>
        <w:gridCol w:w="1036"/>
      </w:tblGrid>
      <w:tr>
        <w:trPr/>
        <w:tc>
          <w:tcPr>
            <w:tcW w:w="13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ind w:left="0" w:right="0" w:firstLine="60"/>
              <w:jc w:val="left"/>
              <w:rPr>
                <w:sz w:val="4"/>
                <w:szCs w:val="4"/>
              </w:rPr>
            </w:pPr>
            <w:r>
              <w:rPr>
                <w:sz w:val="4"/>
                <w:szCs w:val="4"/>
              </w:rPr>
            </w:r>
          </w:p>
        </w:tc>
      </w:tr>
      <w:tr>
        <w:trPr/>
        <w:tc>
          <w:tcPr>
            <w:tcW w:w="1394" w:type="dxa"/>
            <w:tcBorders>
              <w:bottom w:val="single" w:sz="4" w:space="0" w:color="7855FA"/>
            </w:tcBorders>
            <w:tcMar>
              <w:top w:w="0" w:type="dxa"/>
              <w:left w:w="0" w:type="dxa"/>
              <w:right w:w="0" w:type="dxa"/>
            </w:tcMar>
            <w:vAlign w:val="center"/>
          </w:tcPr>
          <w:p>
            <w:pPr>
              <w:pStyle w:val="TableContents"/>
              <w:bidi w:val="0"/>
              <w:spacing w:before="120" w:after="283"/>
              <w:ind w:left="60" w:right="0" w:firstLine="60"/>
              <w:jc w:val="left"/>
              <w:rPr>
                <w:rFonts w:ascii="Montserrat;sans-serif" w:hAnsi="Montserrat;sans-serif"/>
                <w:b/>
                <w:color w:val="7855FA"/>
                <w:sz w:val="18"/>
              </w:rPr>
            </w:pPr>
            <w:r>
              <w:rPr>
                <w:rFonts w:ascii="Montserrat;sans-serif" w:hAnsi="Montserrat;sans-serif"/>
                <w:b/>
                <w:color w:val="7855FA"/>
                <w:sz w:val="18"/>
              </w:rPr>
              <w:t>Name</w:t>
            </w:r>
          </w:p>
        </w:tc>
        <w:tc>
          <w:tcPr>
            <w:tcW w:w="146" w:type="dxa"/>
            <w:tcBorders>
              <w:bottom w:val="single" w:sz="4" w:space="0" w:color="7855F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 w:type="dxa"/>
            <w:tcBorders>
              <w:bottom w:val="single" w:sz="4" w:space="0" w:color="7855FA"/>
            </w:tcBorders>
            <w:tcMar>
              <w:top w:w="0" w:type="dxa"/>
              <w:left w:w="0" w:type="dxa"/>
              <w:right w:w="0" w:type="dxa"/>
            </w:tcMar>
            <w:vAlign w:val="center"/>
          </w:tcPr>
          <w:p>
            <w:pPr>
              <w:pStyle w:val="TableContents"/>
              <w:bidi w:val="0"/>
              <w:spacing w:before="120" w:after="283"/>
              <w:jc w:val="center"/>
              <w:rPr>
                <w:rFonts w:ascii="Montserrat;sans-serif" w:hAnsi="Montserrat;sans-serif"/>
                <w:b/>
                <w:color w:val="7855FA"/>
                <w:sz w:val="18"/>
              </w:rPr>
            </w:pPr>
            <w:r>
              <w:rPr>
                <w:rFonts w:ascii="Montserrat;sans-serif" w:hAnsi="Montserrat;sans-serif"/>
                <w:b/>
                <w:color w:val="7855FA"/>
                <w:sz w:val="18"/>
              </w:rPr>
              <w:t>Age</w:t>
            </w:r>
          </w:p>
        </w:tc>
        <w:tc>
          <w:tcPr>
            <w:tcW w:w="146" w:type="dxa"/>
            <w:tcBorders>
              <w:bottom w:val="single" w:sz="4" w:space="0" w:color="7855F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tcBorders>
              <w:bottom w:val="single" w:sz="4" w:space="0" w:color="7855FA"/>
            </w:tcBorders>
            <w:tcMar>
              <w:top w:w="0" w:type="dxa"/>
              <w:left w:w="0" w:type="dxa"/>
              <w:right w:w="0" w:type="dxa"/>
            </w:tcMar>
            <w:vAlign w:val="center"/>
          </w:tcPr>
          <w:p>
            <w:pPr>
              <w:pStyle w:val="TableContents"/>
              <w:bidi w:val="0"/>
              <w:spacing w:before="120" w:after="283"/>
              <w:jc w:val="center"/>
              <w:rPr>
                <w:rFonts w:ascii="Montserrat;sans-serif" w:hAnsi="Montserrat;sans-serif"/>
                <w:sz w:val="18"/>
              </w:rPr>
            </w:pPr>
            <w:r>
              <w:rPr>
                <w:rFonts w:ascii="Montserrat;sans-serif" w:hAnsi="Montserrat;sans-serif"/>
                <w:b/>
                <w:color w:val="7855FA"/>
                <w:sz w:val="18"/>
              </w:rPr>
              <w:t>Audit</w:t>
            </w:r>
            <w:r>
              <w:rPr>
                <w:rFonts w:ascii="Montserrat;sans-serif" w:hAnsi="Montserrat;sans-serif"/>
                <w:color w:val="7855FA"/>
                <w:sz w:val="18"/>
              </w:rPr>
              <w:br/>
            </w:r>
            <w:r>
              <w:rPr>
                <w:rFonts w:ascii="Montserrat;sans-serif" w:hAnsi="Montserrat;sans-serif"/>
                <w:b/>
                <w:color w:val="7855FA"/>
                <w:sz w:val="18"/>
              </w:rPr>
              <w:t>Committee</w:t>
            </w:r>
          </w:p>
        </w:tc>
        <w:tc>
          <w:tcPr>
            <w:tcW w:w="146" w:type="dxa"/>
            <w:tcBorders>
              <w:bottom w:val="single" w:sz="4" w:space="0" w:color="7855F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6" w:type="dxa"/>
            <w:tcBorders>
              <w:bottom w:val="single" w:sz="4" w:space="0" w:color="7855FA"/>
            </w:tcBorders>
            <w:tcMar>
              <w:top w:w="0" w:type="dxa"/>
              <w:left w:w="0" w:type="dxa"/>
              <w:right w:w="0" w:type="dxa"/>
            </w:tcMar>
            <w:vAlign w:val="center"/>
          </w:tcPr>
          <w:p>
            <w:pPr>
              <w:pStyle w:val="TableContents"/>
              <w:bidi w:val="0"/>
              <w:spacing w:before="120" w:after="283"/>
              <w:jc w:val="center"/>
              <w:rPr>
                <w:rFonts w:ascii="Montserrat;sans-serif" w:hAnsi="Montserrat;sans-serif"/>
                <w:sz w:val="18"/>
              </w:rPr>
            </w:pPr>
            <w:r>
              <w:rPr>
                <w:rFonts w:ascii="Montserrat;sans-serif" w:hAnsi="Montserrat;sans-serif"/>
                <w:b/>
                <w:color w:val="7855FA"/>
                <w:sz w:val="18"/>
              </w:rPr>
              <w:t>Compensation</w:t>
            </w:r>
            <w:r>
              <w:rPr>
                <w:rFonts w:ascii="Montserrat;sans-serif" w:hAnsi="Montserrat;sans-serif"/>
                <w:color w:val="7855FA"/>
                <w:sz w:val="18"/>
              </w:rPr>
              <w:br/>
            </w:r>
            <w:r>
              <w:rPr>
                <w:rFonts w:ascii="Montserrat;sans-serif" w:hAnsi="Montserrat;sans-serif"/>
                <w:b/>
                <w:color w:val="7855FA"/>
                <w:sz w:val="18"/>
              </w:rPr>
              <w:t>Committee</w:t>
            </w:r>
          </w:p>
        </w:tc>
        <w:tc>
          <w:tcPr>
            <w:tcW w:w="146" w:type="dxa"/>
            <w:tcBorders>
              <w:bottom w:val="single" w:sz="4" w:space="0" w:color="7855F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1" w:type="dxa"/>
            <w:tcBorders>
              <w:bottom w:val="single" w:sz="4" w:space="0" w:color="7855FA"/>
            </w:tcBorders>
            <w:tcMar>
              <w:top w:w="0" w:type="dxa"/>
              <w:left w:w="0" w:type="dxa"/>
              <w:right w:w="0" w:type="dxa"/>
            </w:tcMar>
            <w:vAlign w:val="center"/>
          </w:tcPr>
          <w:p>
            <w:pPr>
              <w:pStyle w:val="TableContents"/>
              <w:bidi w:val="0"/>
              <w:spacing w:before="120" w:after="283"/>
              <w:jc w:val="center"/>
              <w:rPr>
                <w:rFonts w:ascii="Montserrat;sans-serif" w:hAnsi="Montserrat;sans-serif"/>
                <w:sz w:val="18"/>
              </w:rPr>
            </w:pPr>
            <w:r>
              <w:rPr>
                <w:rFonts w:ascii="Montserrat;sans-serif" w:hAnsi="Montserrat;sans-serif"/>
                <w:b/>
                <w:color w:val="7855FA"/>
                <w:sz w:val="18"/>
              </w:rPr>
              <w:t>Nominating</w:t>
            </w:r>
            <w:r>
              <w:rPr>
                <w:rFonts w:ascii="Montserrat;sans-serif" w:hAnsi="Montserrat;sans-serif"/>
                <w:color w:val="7855FA"/>
                <w:sz w:val="18"/>
              </w:rPr>
              <w:br/>
            </w:r>
            <w:r>
              <w:rPr>
                <w:rFonts w:ascii="Montserrat;sans-serif" w:hAnsi="Montserrat;sans-serif"/>
                <w:b/>
                <w:color w:val="7855FA"/>
                <w:sz w:val="18"/>
              </w:rPr>
              <w:t>and Corporate</w:t>
            </w:r>
            <w:r>
              <w:rPr>
                <w:rFonts w:ascii="Montserrat;sans-serif" w:hAnsi="Montserrat;sans-serif"/>
                <w:color w:val="7855FA"/>
                <w:sz w:val="18"/>
              </w:rPr>
              <w:br/>
            </w:r>
            <w:r>
              <w:rPr>
                <w:rFonts w:ascii="Montserrat;sans-serif" w:hAnsi="Montserrat;sans-serif"/>
                <w:b/>
                <w:color w:val="7855FA"/>
                <w:sz w:val="18"/>
              </w:rPr>
              <w:t>Governance</w:t>
            </w:r>
            <w:r>
              <w:rPr>
                <w:rFonts w:ascii="Montserrat;sans-serif" w:hAnsi="Montserrat;sans-serif"/>
                <w:color w:val="7855FA"/>
                <w:sz w:val="18"/>
              </w:rPr>
              <w:br/>
            </w:r>
            <w:r>
              <w:rPr>
                <w:rFonts w:ascii="Montserrat;sans-serif" w:hAnsi="Montserrat;sans-serif"/>
                <w:b/>
                <w:color w:val="7855FA"/>
                <w:sz w:val="18"/>
              </w:rPr>
              <w:t>Committee</w:t>
            </w:r>
          </w:p>
        </w:tc>
        <w:tc>
          <w:tcPr>
            <w:tcW w:w="146" w:type="dxa"/>
            <w:tcBorders>
              <w:bottom w:val="single" w:sz="4" w:space="0" w:color="7855F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tcBorders>
              <w:bottom w:val="single" w:sz="4" w:space="0" w:color="7855FA"/>
            </w:tcBorders>
            <w:tcMar>
              <w:top w:w="0" w:type="dxa"/>
              <w:left w:w="0" w:type="dxa"/>
              <w:right w:w="0" w:type="dxa"/>
            </w:tcMar>
            <w:vAlign w:val="center"/>
          </w:tcPr>
          <w:p>
            <w:pPr>
              <w:pStyle w:val="TableContents"/>
              <w:bidi w:val="0"/>
              <w:spacing w:before="120" w:after="283"/>
              <w:jc w:val="center"/>
              <w:rPr>
                <w:rFonts w:ascii="Montserrat;sans-serif" w:hAnsi="Montserrat;sans-serif"/>
                <w:sz w:val="18"/>
              </w:rPr>
            </w:pPr>
            <w:r>
              <w:rPr>
                <w:rFonts w:ascii="Montserrat;sans-serif" w:hAnsi="Montserrat;sans-serif"/>
                <w:b/>
                <w:color w:val="7855FA"/>
                <w:sz w:val="18"/>
              </w:rPr>
              <w:t>Security</w:t>
            </w:r>
            <w:r>
              <w:rPr>
                <w:rFonts w:ascii="Montserrat;sans-serif" w:hAnsi="Montserrat;sans-serif"/>
                <w:color w:val="7855FA"/>
                <w:sz w:val="18"/>
              </w:rPr>
              <w:br/>
            </w:r>
            <w:r>
              <w:rPr>
                <w:rFonts w:ascii="Montserrat;sans-serif" w:hAnsi="Montserrat;sans-serif"/>
                <w:b/>
                <w:color w:val="7855FA"/>
                <w:sz w:val="18"/>
              </w:rPr>
              <w:t>and Privacy</w:t>
            </w:r>
            <w:r>
              <w:rPr>
                <w:rFonts w:ascii="Montserrat;sans-serif" w:hAnsi="Montserrat;sans-serif"/>
                <w:color w:val="7855FA"/>
                <w:sz w:val="18"/>
              </w:rPr>
              <w:br/>
            </w:r>
            <w:r>
              <w:rPr>
                <w:rFonts w:ascii="Montserrat;sans-serif" w:hAnsi="Montserrat;sans-serif"/>
                <w:b/>
                <w:color w:val="7855FA"/>
                <w:sz w:val="18"/>
              </w:rPr>
              <w:t>Committee</w:t>
            </w:r>
          </w:p>
        </w:tc>
        <w:tc>
          <w:tcPr>
            <w:tcW w:w="146" w:type="dxa"/>
            <w:tcBorders>
              <w:bottom w:val="single" w:sz="4" w:space="0" w:color="7855F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6" w:type="dxa"/>
            <w:tcBorders>
              <w:bottom w:val="single" w:sz="4" w:space="0" w:color="7855FA"/>
            </w:tcBorders>
            <w:tcMar>
              <w:top w:w="0" w:type="dxa"/>
              <w:left w:w="0" w:type="dxa"/>
              <w:right w:w="0" w:type="dxa"/>
            </w:tcMar>
            <w:vAlign w:val="center"/>
          </w:tcPr>
          <w:p>
            <w:pPr>
              <w:pStyle w:val="TableContents"/>
              <w:bidi w:val="0"/>
              <w:spacing w:before="120" w:after="283"/>
              <w:jc w:val="center"/>
              <w:rPr>
                <w:rFonts w:ascii="Montserrat;sans-serif" w:hAnsi="Montserrat;sans-serif"/>
                <w:b/>
                <w:color w:val="7855FA"/>
                <w:sz w:val="18"/>
              </w:rPr>
            </w:pPr>
            <w:r>
              <w:rPr>
                <w:rFonts w:ascii="Montserrat;sans-serif" w:hAnsi="Montserrat;sans-serif"/>
                <w:b/>
                <w:color w:val="7855FA"/>
                <w:sz w:val="18"/>
              </w:rPr>
              <w:t>Independent</w:t>
            </w:r>
          </w:p>
        </w:tc>
        <w:tc>
          <w:tcPr>
            <w:tcW w:w="146" w:type="dxa"/>
            <w:tcBorders>
              <w:bottom w:val="single" w:sz="4" w:space="0" w:color="7855FA"/>
            </w:tcBorders>
            <w:tcMar>
              <w:top w:w="0" w:type="dxa"/>
              <w:left w:w="0" w:type="dxa"/>
              <w:right w:w="0" w:type="dxa"/>
            </w:tcMar>
            <w:vAlign w:val="center"/>
          </w:tcPr>
          <w:p>
            <w:pPr>
              <w:pStyle w:val="TableContents"/>
              <w:bidi w:val="0"/>
              <w:spacing w:before="0" w:after="283"/>
              <w:ind w:left="0" w:right="0" w:firstLine="40"/>
              <w:jc w:val="left"/>
              <w:rPr>
                <w:sz w:val="4"/>
                <w:szCs w:val="4"/>
              </w:rPr>
            </w:pPr>
            <w:r>
              <w:rPr>
                <w:sz w:val="4"/>
                <w:szCs w:val="4"/>
              </w:rPr>
            </w:r>
          </w:p>
        </w:tc>
        <w:tc>
          <w:tcPr>
            <w:tcW w:w="1036" w:type="dxa"/>
            <w:tcBorders>
              <w:bottom w:val="single" w:sz="4" w:space="0" w:color="7855FA"/>
            </w:tcBorders>
            <w:tcMar>
              <w:top w:w="0" w:type="dxa"/>
              <w:left w:w="0" w:type="dxa"/>
              <w:right w:w="0" w:type="dxa"/>
            </w:tcMar>
            <w:vAlign w:val="center"/>
          </w:tcPr>
          <w:p>
            <w:pPr>
              <w:pStyle w:val="TableContents"/>
              <w:bidi w:val="0"/>
              <w:spacing w:before="120" w:after="283"/>
              <w:ind w:left="0" w:right="0" w:firstLine="60"/>
              <w:jc w:val="center"/>
              <w:rPr>
                <w:rFonts w:ascii="Montserrat;sans-serif" w:hAnsi="Montserrat;sans-serif"/>
                <w:b/>
                <w:color w:val="7855FA"/>
                <w:sz w:val="18"/>
              </w:rPr>
            </w:pPr>
            <w:r>
              <w:rPr>
                <w:rFonts w:ascii="Montserrat;sans-serif" w:hAnsi="Montserrat;sans-serif"/>
                <w:b/>
                <w:color w:val="7855FA"/>
                <w:sz w:val="18"/>
              </w:rPr>
              <w:t>Director Since</w:t>
            </w:r>
          </w:p>
        </w:tc>
      </w:tr>
      <w:tr>
        <w:trPr/>
        <w:tc>
          <w:tcPr>
            <w:tcW w:w="1394" w:type="dxa"/>
            <w:tcBorders>
              <w:bottom w:val="single" w:sz="4" w:space="0" w:color="000000"/>
            </w:tcBorders>
            <w:tcMar>
              <w:top w:w="0" w:type="dxa"/>
              <w:left w:w="0" w:type="dxa"/>
              <w:right w:w="0" w:type="dxa"/>
            </w:tcMar>
            <w:vAlign w:val="center"/>
          </w:tcPr>
          <w:p>
            <w:pPr>
              <w:pStyle w:val="TableContents"/>
              <w:bidi w:val="0"/>
              <w:spacing w:before="60" w:after="60"/>
              <w:ind w:left="60" w:right="0" w:firstLine="60"/>
              <w:jc w:val="left"/>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Eric K. Brandt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 w:type="dxa"/>
            <w:tcBorders>
              <w:bottom w:val="single" w:sz="4" w:space="0" w:color="000000"/>
            </w:tcBorders>
            <w:tcMar>
              <w:top w:w="0" w:type="dxa"/>
              <w:left w:w="0" w:type="dxa"/>
              <w:right w:w="0" w:type="dxa"/>
            </w:tcMar>
            <w:vAlign w:val="center"/>
          </w:tcPr>
          <w:p>
            <w:pPr>
              <w:pStyle w:val="TableContents"/>
              <w:bidi w:val="0"/>
              <w:spacing w:before="60" w:after="60"/>
              <w:jc w:val="center"/>
              <w:rPr>
                <w:rFonts w:ascii="Montserrat;sans-serif" w:hAnsi="Montserrat;sans-serif"/>
                <w:color w:val="000000"/>
                <w:sz w:val="18"/>
              </w:rPr>
            </w:pPr>
            <w:r>
              <w:rPr>
                <w:rFonts w:ascii="Montserrat;sans-serif" w:hAnsi="Montserrat;sans-serif"/>
                <w:color w:val="000000"/>
                <w:sz w:val="18"/>
              </w:rPr>
              <w:t>64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tcBorders>
              <w:bottom w:val="single" w:sz="4" w:space="0" w:color="000000"/>
            </w:tcBorders>
            <w:tcMar>
              <w:top w:w="0" w:type="dxa"/>
              <w:left w:w="0" w:type="dxa"/>
              <w:right w:w="0" w:type="dxa"/>
            </w:tcMar>
            <w:vAlign w:val="center"/>
          </w:tcPr>
          <w:p>
            <w:pPr>
              <w:pStyle w:val="TableContents"/>
              <w:bidi w:val="0"/>
              <w:spacing w:before="60" w:after="60"/>
              <w:jc w:val="center"/>
              <w:rPr/>
            </w:pPr>
            <w:r>
              <w:rPr/>
              <w:drawing>
                <wp:inline distT="0" distB="0" distL="0" distR="0">
                  <wp:extent cx="161925" cy="161925"/>
                  <wp:effectExtent l="0" t="0" r="0" b="0"/>
                  <wp:docPr id="83"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2" descr=""/>
                          <pic:cNvPicPr>
                            <a:picLocks noChangeAspect="1" noChangeArrowheads="1"/>
                          </pic:cNvPicPr>
                        </pic:nvPicPr>
                        <pic:blipFill>
                          <a:blip r:embed="rId76"/>
                          <a:stretch>
                            <a:fillRect/>
                          </a:stretch>
                        </pic:blipFill>
                        <pic:spPr bwMode="auto">
                          <a:xfrm>
                            <a:off x="0" y="0"/>
                            <a:ext cx="161925" cy="161925"/>
                          </a:xfrm>
                          <a:prstGeom prst="rect">
                            <a:avLst/>
                          </a:prstGeom>
                        </pic:spPr>
                      </pic:pic>
                    </a:graphicData>
                  </a:graphic>
                </wp:inline>
              </w:drawing>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6" w:type="dxa"/>
            <w:tcBorders>
              <w:bottom w:val="single" w:sz="4" w:space="0" w:color="000000"/>
            </w:tcBorders>
            <w:tcMar>
              <w:top w:w="0" w:type="dxa"/>
              <w:left w:w="0" w:type="dxa"/>
              <w:right w:w="0" w:type="dxa"/>
            </w:tcMar>
            <w:vAlign w:val="center"/>
          </w:tcPr>
          <w:p>
            <w:pPr>
              <w:pStyle w:val="TableContents"/>
              <w:bidi w:val="0"/>
              <w:spacing w:before="60" w:after="6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tcBorders>
              <w:bottom w:val="single" w:sz="4" w:space="0" w:color="000000"/>
            </w:tcBorders>
            <w:tcMar>
              <w:top w:w="0" w:type="dxa"/>
              <w:left w:w="0" w:type="dxa"/>
              <w:right w:w="0" w:type="dxa"/>
            </w:tcMar>
            <w:vAlign w:val="center"/>
          </w:tcPr>
          <w:p>
            <w:pPr>
              <w:pStyle w:val="TableContents"/>
              <w:bidi w:val="0"/>
              <w:spacing w:before="60" w:after="60"/>
              <w:jc w:val="center"/>
              <w:rPr/>
            </w:pPr>
            <w:r>
              <w:rPr/>
              <w:drawing>
                <wp:inline distT="0" distB="0" distL="0" distR="0">
                  <wp:extent cx="161925" cy="161925"/>
                  <wp:effectExtent l="0" t="0" r="0" b="0"/>
                  <wp:docPr id="84"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3" descr=""/>
                          <pic:cNvPicPr>
                            <a:picLocks noChangeAspect="1" noChangeArrowheads="1"/>
                          </pic:cNvPicPr>
                        </pic:nvPicPr>
                        <pic:blipFill>
                          <a:blip r:embed="rId77"/>
                          <a:stretch>
                            <a:fillRect/>
                          </a:stretch>
                        </pic:blipFill>
                        <pic:spPr bwMode="auto">
                          <a:xfrm>
                            <a:off x="0" y="0"/>
                            <a:ext cx="161925" cy="161925"/>
                          </a:xfrm>
                          <a:prstGeom prst="rect">
                            <a:avLst/>
                          </a:prstGeom>
                        </pic:spPr>
                      </pic:pic>
                    </a:graphicData>
                  </a:graphic>
                </wp:inline>
              </w:drawing>
            </w:r>
            <w:r>
              <w:rPr>
                <w:color w:val="000000"/>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6" w:type="dxa"/>
            <w:tcBorders>
              <w:bottom w:val="single" w:sz="4" w:space="0" w:color="000000"/>
            </w:tcBorders>
            <w:tcMar>
              <w:top w:w="0" w:type="dxa"/>
              <w:left w:w="0" w:type="dxa"/>
              <w:right w:w="0" w:type="dxa"/>
            </w:tcMar>
            <w:vAlign w:val="center"/>
          </w:tcPr>
          <w:p>
            <w:pPr>
              <w:pStyle w:val="TableContents"/>
              <w:bidi w:val="0"/>
              <w:spacing w:before="60" w:after="60"/>
              <w:jc w:val="center"/>
              <w:rPr/>
            </w:pPr>
            <w:r>
              <w:rPr/>
              <w:drawing>
                <wp:inline distT="0" distB="0" distL="0" distR="0">
                  <wp:extent cx="161925" cy="161925"/>
                  <wp:effectExtent l="0" t="0" r="0" b="0"/>
                  <wp:docPr id="85"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74" descr=""/>
                          <pic:cNvPicPr>
                            <a:picLocks noChangeAspect="1" noChangeArrowheads="1"/>
                          </pic:cNvPicPr>
                        </pic:nvPicPr>
                        <pic:blipFill>
                          <a:blip r:embed="rId78"/>
                          <a:stretch>
                            <a:fillRect/>
                          </a:stretch>
                        </pic:blipFill>
                        <pic:spPr bwMode="auto">
                          <a:xfrm>
                            <a:off x="0" y="0"/>
                            <a:ext cx="161925" cy="161925"/>
                          </a:xfrm>
                          <a:prstGeom prst="rect">
                            <a:avLst/>
                          </a:prstGeom>
                        </pic:spPr>
                      </pic:pic>
                    </a:graphicData>
                  </a:graphic>
                </wp:inline>
              </w:drawing>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4" w:space="0" w:color="000000"/>
            </w:tcBorders>
            <w:tcMar>
              <w:top w:w="0" w:type="dxa"/>
              <w:left w:w="0" w:type="dxa"/>
              <w:right w:w="0" w:type="dxa"/>
            </w:tcMar>
            <w:vAlign w:val="center"/>
          </w:tcPr>
          <w:p>
            <w:pPr>
              <w:pStyle w:val="TableContents"/>
              <w:bidi w:val="0"/>
              <w:spacing w:before="60" w:after="60"/>
              <w:ind w:left="0" w:right="0" w:firstLine="60"/>
              <w:jc w:val="center"/>
              <w:rPr>
                <w:rFonts w:ascii="Montserrat;sans-serif" w:hAnsi="Montserrat;sans-serif"/>
                <w:color w:val="000000"/>
                <w:sz w:val="18"/>
              </w:rPr>
            </w:pPr>
            <w:r>
              <w:rPr>
                <w:rFonts w:ascii="Montserrat;sans-serif" w:hAnsi="Montserrat;sans-serif"/>
                <w:color w:val="000000"/>
                <w:sz w:val="18"/>
              </w:rPr>
              <w:t>2025</w:t>
            </w:r>
          </w:p>
        </w:tc>
      </w:tr>
      <w:tr>
        <w:trPr/>
        <w:tc>
          <w:tcPr>
            <w:tcW w:w="1394" w:type="dxa"/>
            <w:tcBorders>
              <w:bottom w:val="single" w:sz="4" w:space="0" w:color="000000"/>
            </w:tcBorders>
            <w:tcMar>
              <w:top w:w="0" w:type="dxa"/>
              <w:left w:w="0" w:type="dxa"/>
              <w:right w:w="0" w:type="dxa"/>
            </w:tcMar>
            <w:vAlign w:val="center"/>
          </w:tcPr>
          <w:p>
            <w:pPr>
              <w:pStyle w:val="TableContents"/>
              <w:bidi w:val="0"/>
              <w:spacing w:lineRule="auto" w:line="360" w:before="60" w:after="60"/>
              <w:ind w:left="60" w:right="0" w:firstLine="60"/>
              <w:jc w:val="left"/>
              <w:rPr>
                <w:rFonts w:ascii="Montserrat Medium;sans-serif" w:hAnsi="Montserrat Medium;sans-serif"/>
                <w:sz w:val="18"/>
              </w:rPr>
            </w:pPr>
            <w:r>
              <w:rPr>
                <w:rFonts w:ascii="Montserrat;Montserrat Medium;sans-serif" w:hAnsi="Montserrat;Montserrat Medium;sans-serif"/>
                <w:b/>
                <w:color w:val="000000"/>
                <w:sz w:val="18"/>
              </w:rPr>
              <w:t>Craig Conway</w:t>
            </w:r>
            <w:r>
              <w:rPr>
                <w:rFonts w:ascii="Montserrat;Montserrat Medium;sans-serif" w:hAnsi="Montserrat;Montserrat Medium;sans-serif"/>
                <w:b/>
                <w:color w:val="000000"/>
                <w:sz w:val="12"/>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 w:type="dxa"/>
            <w:tcBorders>
              <w:bottom w:val="single" w:sz="4" w:space="0" w:color="000000"/>
            </w:tcBorders>
            <w:tcMar>
              <w:top w:w="0" w:type="dxa"/>
              <w:left w:w="0" w:type="dxa"/>
              <w:right w:w="0" w:type="dxa"/>
            </w:tcMar>
            <w:vAlign w:val="center"/>
          </w:tcPr>
          <w:p>
            <w:pPr>
              <w:pStyle w:val="TableContents"/>
              <w:bidi w:val="0"/>
              <w:spacing w:before="60" w:after="60"/>
              <w:jc w:val="center"/>
              <w:rPr>
                <w:rFonts w:ascii="Montserrat;sans-serif" w:hAnsi="Montserrat;sans-serif"/>
                <w:color w:val="000000"/>
                <w:sz w:val="18"/>
              </w:rPr>
            </w:pPr>
            <w:r>
              <w:rPr>
                <w:rFonts w:ascii="Montserrat;sans-serif" w:hAnsi="Montserrat;sans-serif"/>
                <w:color w:val="000000"/>
                <w:sz w:val="18"/>
              </w:rPr>
              <w:t>72</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6" w:type="dxa"/>
            <w:tcBorders>
              <w:bottom w:val="single" w:sz="4" w:space="0" w:color="000000"/>
            </w:tcBorders>
            <w:tcMar>
              <w:top w:w="0" w:type="dxa"/>
              <w:left w:w="0" w:type="dxa"/>
              <w:right w:w="0" w:type="dxa"/>
            </w:tcMar>
            <w:vAlign w:val="center"/>
          </w:tcPr>
          <w:p>
            <w:pPr>
              <w:pStyle w:val="TableContents"/>
              <w:bidi w:val="0"/>
              <w:spacing w:before="60" w:after="60"/>
              <w:jc w:val="center"/>
              <w:rPr/>
            </w:pPr>
            <w:r>
              <w:rPr/>
              <w:drawing>
                <wp:inline distT="0" distB="0" distL="0" distR="0">
                  <wp:extent cx="161925" cy="161925"/>
                  <wp:effectExtent l="0" t="0" r="0" b="0"/>
                  <wp:docPr id="86"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75" descr=""/>
                          <pic:cNvPicPr>
                            <a:picLocks noChangeAspect="1" noChangeArrowheads="1"/>
                          </pic:cNvPicPr>
                        </pic:nvPicPr>
                        <pic:blipFill>
                          <a:blip r:embed="rId79"/>
                          <a:stretch>
                            <a:fillRect/>
                          </a:stretch>
                        </pic:blipFill>
                        <pic:spPr bwMode="auto">
                          <a:xfrm>
                            <a:off x="0" y="0"/>
                            <a:ext cx="161925" cy="161925"/>
                          </a:xfrm>
                          <a:prstGeom prst="rect">
                            <a:avLst/>
                          </a:prstGeom>
                        </pic:spPr>
                      </pic:pic>
                    </a:graphicData>
                  </a:graphic>
                </wp:inline>
              </w:drawing>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1" w:type="dxa"/>
            <w:tcBorders>
              <w:bottom w:val="single" w:sz="4" w:space="0" w:color="000000"/>
            </w:tcBorders>
            <w:tcMar>
              <w:top w:w="0" w:type="dxa"/>
              <w:left w:w="0" w:type="dxa"/>
              <w:right w:w="0" w:type="dxa"/>
            </w:tcMar>
            <w:vAlign w:val="center"/>
          </w:tcPr>
          <w:p>
            <w:pPr>
              <w:pStyle w:val="TableContents"/>
              <w:bidi w:val="0"/>
              <w:spacing w:before="60" w:after="60"/>
              <w:jc w:val="center"/>
              <w:rPr/>
            </w:pPr>
            <w:r>
              <w:rPr/>
              <w:drawing>
                <wp:inline distT="0" distB="0" distL="0" distR="0">
                  <wp:extent cx="161925" cy="161925"/>
                  <wp:effectExtent l="0" t="0" r="0" b="0"/>
                  <wp:docPr id="87"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76" descr=""/>
                          <pic:cNvPicPr>
                            <a:picLocks noChangeAspect="1" noChangeArrowheads="1"/>
                          </pic:cNvPicPr>
                        </pic:nvPicPr>
                        <pic:blipFill>
                          <a:blip r:embed="rId80"/>
                          <a:stretch>
                            <a:fillRect/>
                          </a:stretch>
                        </pic:blipFill>
                        <pic:spPr bwMode="auto">
                          <a:xfrm>
                            <a:off x="0" y="0"/>
                            <a:ext cx="161925" cy="161925"/>
                          </a:xfrm>
                          <a:prstGeom prst="rect">
                            <a:avLst/>
                          </a:prstGeom>
                        </pic:spPr>
                      </pic:pic>
                    </a:graphicData>
                  </a:graphic>
                </wp:inline>
              </w:drawing>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6" w:type="dxa"/>
            <w:tcBorders>
              <w:bottom w:val="single" w:sz="4" w:space="0" w:color="000000"/>
            </w:tcBorders>
            <w:tcMar>
              <w:top w:w="0" w:type="dxa"/>
              <w:left w:w="0" w:type="dxa"/>
              <w:right w:w="0" w:type="dxa"/>
            </w:tcMar>
            <w:vAlign w:val="center"/>
          </w:tcPr>
          <w:p>
            <w:pPr>
              <w:pStyle w:val="TableContents"/>
              <w:bidi w:val="0"/>
              <w:spacing w:before="60" w:after="60"/>
              <w:jc w:val="center"/>
              <w:rPr/>
            </w:pPr>
            <w:r>
              <w:rPr/>
              <w:drawing>
                <wp:inline distT="0" distB="0" distL="0" distR="0">
                  <wp:extent cx="161925" cy="161925"/>
                  <wp:effectExtent l="0" t="0" r="0" b="0"/>
                  <wp:docPr id="88"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77" descr=""/>
                          <pic:cNvPicPr>
                            <a:picLocks noChangeAspect="1" noChangeArrowheads="1"/>
                          </pic:cNvPicPr>
                        </pic:nvPicPr>
                        <pic:blipFill>
                          <a:blip r:embed="rId81"/>
                          <a:stretch>
                            <a:fillRect/>
                          </a:stretch>
                        </pic:blipFill>
                        <pic:spPr bwMode="auto">
                          <a:xfrm>
                            <a:off x="0" y="0"/>
                            <a:ext cx="161925" cy="161925"/>
                          </a:xfrm>
                          <a:prstGeom prst="rect">
                            <a:avLst/>
                          </a:prstGeom>
                        </pic:spPr>
                      </pic:pic>
                    </a:graphicData>
                  </a:graphic>
                </wp:inline>
              </w:drawing>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4" w:space="0" w:color="000000"/>
            </w:tcBorders>
            <w:tcMar>
              <w:top w:w="0" w:type="dxa"/>
              <w:left w:w="0" w:type="dxa"/>
              <w:right w:w="0" w:type="dxa"/>
            </w:tcMar>
            <w:vAlign w:val="center"/>
          </w:tcPr>
          <w:p>
            <w:pPr>
              <w:pStyle w:val="TableContents"/>
              <w:bidi w:val="0"/>
              <w:spacing w:before="60" w:after="60"/>
              <w:ind w:left="0" w:right="0" w:firstLine="60"/>
              <w:jc w:val="center"/>
              <w:rPr>
                <w:rFonts w:ascii="Montserrat;sans-serif" w:hAnsi="Montserrat;sans-serif"/>
                <w:color w:val="000000"/>
                <w:sz w:val="18"/>
              </w:rPr>
            </w:pPr>
            <w:r>
              <w:rPr>
                <w:rFonts w:ascii="Montserrat;sans-serif" w:hAnsi="Montserrat;sans-serif"/>
                <w:color w:val="000000"/>
                <w:sz w:val="18"/>
              </w:rPr>
              <w:t>2017</w:t>
            </w:r>
          </w:p>
        </w:tc>
      </w:tr>
      <w:tr>
        <w:trPr/>
        <w:tc>
          <w:tcPr>
            <w:tcW w:w="1394" w:type="dxa"/>
            <w:tcBorders>
              <w:bottom w:val="single" w:sz="4" w:space="0" w:color="000000"/>
            </w:tcBorders>
            <w:tcMar>
              <w:top w:w="0" w:type="dxa"/>
              <w:left w:w="0" w:type="dxa"/>
              <w:right w:w="0" w:type="dxa"/>
            </w:tcMar>
            <w:vAlign w:val="center"/>
          </w:tcPr>
          <w:p>
            <w:pPr>
              <w:pStyle w:val="TableContents"/>
              <w:bidi w:val="0"/>
              <w:spacing w:before="60" w:after="60"/>
              <w:ind w:left="60" w:right="0" w:firstLine="60"/>
              <w:jc w:val="left"/>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Max de Groen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 w:type="dxa"/>
            <w:tcBorders>
              <w:bottom w:val="single" w:sz="4" w:space="0" w:color="000000"/>
            </w:tcBorders>
            <w:tcMar>
              <w:top w:w="0" w:type="dxa"/>
              <w:left w:w="0" w:type="dxa"/>
              <w:right w:w="0" w:type="dxa"/>
            </w:tcMar>
            <w:vAlign w:val="center"/>
          </w:tcPr>
          <w:p>
            <w:pPr>
              <w:pStyle w:val="TableContents"/>
              <w:bidi w:val="0"/>
              <w:spacing w:before="20" w:after="20"/>
              <w:jc w:val="center"/>
              <w:rPr>
                <w:rFonts w:ascii="Montserrat;sans-serif" w:hAnsi="Montserrat;sans-serif"/>
                <w:color w:val="000000"/>
                <w:sz w:val="18"/>
              </w:rPr>
            </w:pPr>
            <w:r>
              <w:rPr>
                <w:rFonts w:ascii="Montserrat;sans-serif" w:hAnsi="Montserrat;sans-serif"/>
                <w:color w:val="000000"/>
                <w:sz w:val="18"/>
              </w:rPr>
              <w:t>41</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tcBorders>
              <w:bottom w:val="single" w:sz="4" w:space="0" w:color="000000"/>
            </w:tcBorders>
            <w:tcMar>
              <w:top w:w="0" w:type="dxa"/>
              <w:left w:w="0" w:type="dxa"/>
              <w:right w:w="0" w:type="dxa"/>
            </w:tcMar>
            <w:vAlign w:val="center"/>
          </w:tcPr>
          <w:p>
            <w:pPr>
              <w:pStyle w:val="TableContents"/>
              <w:bidi w:val="0"/>
              <w:spacing w:before="60" w:after="60"/>
              <w:jc w:val="center"/>
              <w:rPr/>
            </w:pPr>
            <w:r>
              <w:rPr/>
              <w:drawing>
                <wp:inline distT="0" distB="0" distL="0" distR="0">
                  <wp:extent cx="161925" cy="161925"/>
                  <wp:effectExtent l="0" t="0" r="0" b="0"/>
                  <wp:docPr id="89"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78" descr=""/>
                          <pic:cNvPicPr>
                            <a:picLocks noChangeAspect="1" noChangeArrowheads="1"/>
                          </pic:cNvPicPr>
                        </pic:nvPicPr>
                        <pic:blipFill>
                          <a:blip r:embed="rId82"/>
                          <a:stretch>
                            <a:fillRect/>
                          </a:stretch>
                        </pic:blipFill>
                        <pic:spPr bwMode="auto">
                          <a:xfrm>
                            <a:off x="0" y="0"/>
                            <a:ext cx="161925" cy="161925"/>
                          </a:xfrm>
                          <a:prstGeom prst="rect">
                            <a:avLst/>
                          </a:prstGeom>
                        </pic:spPr>
                      </pic:pic>
                    </a:graphicData>
                  </a:graphic>
                </wp:inline>
              </w:drawing>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6" w:type="dxa"/>
            <w:tcBorders>
              <w:bottom w:val="single" w:sz="4" w:space="0" w:color="000000"/>
            </w:tcBorders>
            <w:tcMar>
              <w:top w:w="0" w:type="dxa"/>
              <w:left w:w="0" w:type="dxa"/>
              <w:right w:w="0" w:type="dxa"/>
            </w:tcMar>
            <w:vAlign w:val="center"/>
          </w:tcPr>
          <w:p>
            <w:pPr>
              <w:pStyle w:val="TableContents"/>
              <w:bidi w:val="0"/>
              <w:spacing w:before="20" w:after="20"/>
              <w:jc w:val="center"/>
              <w:rPr/>
            </w:pPr>
            <w:r>
              <w:rPr/>
              <w:drawing>
                <wp:inline distT="0" distB="0" distL="0" distR="0">
                  <wp:extent cx="161925" cy="161925"/>
                  <wp:effectExtent l="0" t="0" r="0" b="0"/>
                  <wp:docPr id="90"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79" descr=""/>
                          <pic:cNvPicPr>
                            <a:picLocks noChangeAspect="1" noChangeArrowheads="1"/>
                          </pic:cNvPicPr>
                        </pic:nvPicPr>
                        <pic:blipFill>
                          <a:blip r:embed="rId83"/>
                          <a:stretch>
                            <a:fillRect/>
                          </a:stretch>
                        </pic:blipFill>
                        <pic:spPr bwMode="auto">
                          <a:xfrm>
                            <a:off x="0" y="0"/>
                            <a:ext cx="161925" cy="161925"/>
                          </a:xfrm>
                          <a:prstGeom prst="rect">
                            <a:avLst/>
                          </a:prstGeom>
                        </pic:spPr>
                      </pic:pic>
                    </a:graphicData>
                  </a:graphic>
                </wp:inline>
              </w:drawing>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1" w:type="dxa"/>
            <w:tcBorders>
              <w:bottom w:val="single" w:sz="4" w:space="0" w:color="000000"/>
            </w:tcBorders>
            <w:tcMar>
              <w:top w:w="0" w:type="dxa"/>
              <w:left w:w="0" w:type="dxa"/>
              <w:right w:w="0" w:type="dxa"/>
            </w:tcMar>
            <w:vAlign w:val="center"/>
          </w:tcPr>
          <w:p>
            <w:pPr>
              <w:pStyle w:val="TableContents"/>
              <w:bidi w:val="0"/>
              <w:spacing w:before="20" w:after="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6" w:type="dxa"/>
            <w:tcBorders>
              <w:bottom w:val="single" w:sz="4" w:space="0" w:color="000000"/>
            </w:tcBorders>
            <w:tcMar>
              <w:top w:w="0" w:type="dxa"/>
              <w:left w:w="0" w:type="dxa"/>
              <w:right w:w="0" w:type="dxa"/>
            </w:tcMar>
            <w:vAlign w:val="center"/>
          </w:tcPr>
          <w:p>
            <w:pPr>
              <w:pStyle w:val="TableContents"/>
              <w:bidi w:val="0"/>
              <w:spacing w:before="60" w:after="60"/>
              <w:jc w:val="center"/>
              <w:rPr/>
            </w:pPr>
            <w:r>
              <w:rPr/>
              <w:drawing>
                <wp:inline distT="0" distB="0" distL="0" distR="0">
                  <wp:extent cx="161925" cy="161925"/>
                  <wp:effectExtent l="0" t="0" r="0" b="0"/>
                  <wp:docPr id="91"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0" descr=""/>
                          <pic:cNvPicPr>
                            <a:picLocks noChangeAspect="1" noChangeArrowheads="1"/>
                          </pic:cNvPicPr>
                        </pic:nvPicPr>
                        <pic:blipFill>
                          <a:blip r:embed="rId84"/>
                          <a:stretch>
                            <a:fillRect/>
                          </a:stretch>
                        </pic:blipFill>
                        <pic:spPr bwMode="auto">
                          <a:xfrm>
                            <a:off x="0" y="0"/>
                            <a:ext cx="161925" cy="161925"/>
                          </a:xfrm>
                          <a:prstGeom prst="rect">
                            <a:avLst/>
                          </a:prstGeom>
                        </pic:spPr>
                      </pic:pic>
                    </a:graphicData>
                  </a:graphic>
                </wp:inline>
              </w:drawing>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4" w:space="0" w:color="000000"/>
            </w:tcBorders>
            <w:tcMar>
              <w:top w:w="0" w:type="dxa"/>
              <w:left w:w="0" w:type="dxa"/>
              <w:right w:w="0" w:type="dxa"/>
            </w:tcMar>
            <w:vAlign w:val="center"/>
          </w:tcPr>
          <w:p>
            <w:pPr>
              <w:pStyle w:val="TableContents"/>
              <w:bidi w:val="0"/>
              <w:spacing w:before="20" w:after="20"/>
              <w:ind w:left="0" w:right="0" w:firstLine="58"/>
              <w:jc w:val="center"/>
              <w:rPr>
                <w:rFonts w:ascii="Montserrat;sans-serif" w:hAnsi="Montserrat;sans-serif"/>
                <w:color w:val="000000"/>
                <w:sz w:val="18"/>
              </w:rPr>
            </w:pPr>
            <w:r>
              <w:rPr>
                <w:rFonts w:ascii="Montserrat;sans-serif" w:hAnsi="Montserrat;sans-serif"/>
                <w:color w:val="000000"/>
                <w:sz w:val="18"/>
              </w:rPr>
              <w:t>2020</w:t>
            </w:r>
          </w:p>
        </w:tc>
      </w:tr>
      <w:tr>
        <w:trPr/>
        <w:tc>
          <w:tcPr>
            <w:tcW w:w="1394" w:type="dxa"/>
            <w:tcBorders>
              <w:bottom w:val="single" w:sz="4" w:space="0" w:color="000000"/>
            </w:tcBorders>
            <w:tcMar>
              <w:top w:w="0" w:type="dxa"/>
              <w:left w:w="0" w:type="dxa"/>
              <w:right w:w="0" w:type="dxa"/>
            </w:tcMar>
            <w:vAlign w:val="center"/>
          </w:tcPr>
          <w:p>
            <w:pPr>
              <w:pStyle w:val="TableContents"/>
              <w:bidi w:val="0"/>
              <w:spacing w:before="40" w:after="20"/>
              <w:ind w:left="58" w:right="0" w:firstLine="58"/>
              <w:jc w:val="left"/>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Virginia Gambale</w:t>
            </w:r>
          </w:p>
          <w:p>
            <w:pPr>
              <w:pStyle w:val="TableContents"/>
              <w:bidi w:val="0"/>
              <w:spacing w:before="0" w:after="40"/>
              <w:ind w:left="58" w:right="0" w:firstLine="58"/>
              <w:jc w:val="left"/>
              <w:rPr>
                <w:rFonts w:ascii="Montserrat;sans-serif" w:hAnsi="Montserrat;sans-serif"/>
                <w:i/>
                <w:color w:val="000000"/>
                <w:sz w:val="17"/>
              </w:rPr>
            </w:pPr>
            <w:r>
              <w:rPr>
                <w:rFonts w:ascii="Montserrat;sans-serif" w:hAnsi="Montserrat;sans-serif"/>
                <w:i/>
                <w:color w:val="000000"/>
                <w:sz w:val="17"/>
              </w:rPr>
              <w:t>Chair of the Board</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40" w:after="40"/>
              <w:jc w:val="center"/>
              <w:rPr>
                <w:rFonts w:ascii="Montserrat;sans-serif" w:hAnsi="Montserrat;sans-serif"/>
                <w:color w:val="000000"/>
                <w:sz w:val="18"/>
              </w:rPr>
            </w:pPr>
            <w:r>
              <w:rPr>
                <w:rFonts w:ascii="Montserrat;sans-serif" w:hAnsi="Montserrat;sans-serif"/>
                <w:color w:val="000000"/>
                <w:sz w:val="18"/>
              </w:rPr>
              <w:t>67</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57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321" w:type="dxa"/>
            <w:tcBorders>
              <w:bottom w:val="single" w:sz="4" w:space="0" w:color="000000"/>
            </w:tcBorders>
            <w:tcMar>
              <w:top w:w="0" w:type="dxa"/>
              <w:left w:w="0" w:type="dxa"/>
              <w:right w:w="0" w:type="dxa"/>
            </w:tcMar>
            <w:vAlign w:val="center"/>
          </w:tcPr>
          <w:p>
            <w:pPr>
              <w:pStyle w:val="TableContents"/>
              <w:bidi w:val="0"/>
              <w:spacing w:before="20" w:after="20"/>
              <w:jc w:val="center"/>
              <w:rPr/>
            </w:pPr>
            <w:r>
              <w:rPr/>
              <w:drawing>
                <wp:inline distT="0" distB="0" distL="0" distR="0">
                  <wp:extent cx="161925" cy="161925"/>
                  <wp:effectExtent l="0" t="0" r="0" b="0"/>
                  <wp:docPr id="92"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1" descr=""/>
                          <pic:cNvPicPr>
                            <a:picLocks noChangeAspect="1" noChangeArrowheads="1"/>
                          </pic:cNvPicPr>
                        </pic:nvPicPr>
                        <pic:blipFill>
                          <a:blip r:embed="rId85"/>
                          <a:stretch>
                            <a:fillRect/>
                          </a:stretch>
                        </pic:blipFill>
                        <pic:spPr bwMode="auto">
                          <a:xfrm>
                            <a:off x="0" y="0"/>
                            <a:ext cx="161925" cy="161925"/>
                          </a:xfrm>
                          <a:prstGeom prst="rect">
                            <a:avLst/>
                          </a:prstGeom>
                        </pic:spPr>
                      </pic:pic>
                    </a:graphicData>
                  </a:graphic>
                </wp:inline>
              </w:drawing>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426" w:type="dxa"/>
            <w:tcBorders>
              <w:bottom w:val="single" w:sz="4" w:space="0" w:color="000000"/>
            </w:tcBorders>
            <w:tcMar>
              <w:top w:w="0" w:type="dxa"/>
              <w:left w:w="0" w:type="dxa"/>
              <w:right w:w="0" w:type="dxa"/>
            </w:tcMar>
            <w:vAlign w:val="center"/>
          </w:tcPr>
          <w:p>
            <w:pPr>
              <w:pStyle w:val="TableContents"/>
              <w:bidi w:val="0"/>
              <w:spacing w:before="60" w:after="60"/>
              <w:jc w:val="center"/>
              <w:rPr/>
            </w:pPr>
            <w:r>
              <w:rPr/>
              <w:drawing>
                <wp:inline distT="0" distB="0" distL="0" distR="0">
                  <wp:extent cx="161925" cy="161925"/>
                  <wp:effectExtent l="0" t="0" r="0" b="0"/>
                  <wp:docPr id="93"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2" descr=""/>
                          <pic:cNvPicPr>
                            <a:picLocks noChangeAspect="1" noChangeArrowheads="1"/>
                          </pic:cNvPicPr>
                        </pic:nvPicPr>
                        <pic:blipFill>
                          <a:blip r:embed="rId86"/>
                          <a:stretch>
                            <a:fillRect/>
                          </a:stretch>
                        </pic:blipFill>
                        <pic:spPr bwMode="auto">
                          <a:xfrm>
                            <a:off x="0" y="0"/>
                            <a:ext cx="161925" cy="161925"/>
                          </a:xfrm>
                          <a:prstGeom prst="rect">
                            <a:avLst/>
                          </a:prstGeom>
                        </pic:spPr>
                      </pic:pic>
                    </a:graphicData>
                  </a:graphic>
                </wp:inline>
              </w:drawing>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40" w:after="40"/>
              <w:ind w:left="0" w:right="0" w:firstLine="60"/>
              <w:jc w:val="center"/>
              <w:rPr>
                <w:rFonts w:ascii="Montserrat;sans-serif" w:hAnsi="Montserrat;sans-serif"/>
                <w:color w:val="000000"/>
                <w:sz w:val="18"/>
              </w:rPr>
            </w:pPr>
            <w:r>
              <w:rPr>
                <w:rFonts w:ascii="Montserrat;sans-serif" w:hAnsi="Montserrat;sans-serif"/>
                <w:color w:val="000000"/>
                <w:sz w:val="18"/>
              </w:rPr>
              <w:t>2020</w:t>
            </w:r>
          </w:p>
        </w:tc>
      </w:tr>
      <w:tr>
        <w:trPr/>
        <w:tc>
          <w:tcPr>
            <w:tcW w:w="1394" w:type="dxa"/>
            <w:tcBorders>
              <w:bottom w:val="single" w:sz="4" w:space="0" w:color="000000"/>
            </w:tcBorders>
            <w:tcMar>
              <w:top w:w="0" w:type="dxa"/>
              <w:left w:w="0" w:type="dxa"/>
              <w:right w:w="0" w:type="dxa"/>
            </w:tcMar>
            <w:vAlign w:val="center"/>
          </w:tcPr>
          <w:p>
            <w:pPr>
              <w:pStyle w:val="TableContents"/>
              <w:bidi w:val="0"/>
              <w:spacing w:before="60" w:after="60"/>
              <w:ind w:left="60" w:right="0" w:firstLine="60"/>
              <w:jc w:val="left"/>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Steven J. Gomo</w:t>
            </w:r>
          </w:p>
        </w:tc>
        <w:tc>
          <w:tcPr>
            <w:tcW w:w="146" w:type="dxa"/>
            <w:tcBorders>
              <w:bottom w:val="single" w:sz="4" w:space="0" w:color="000000"/>
            </w:tcBorders>
            <w:tcMar>
              <w:top w:w="0" w:type="dxa"/>
              <w:left w:w="0" w:type="dxa"/>
              <w:right w:w="0" w:type="dxa"/>
            </w:tcMar>
            <w:vAlign w:val="center"/>
          </w:tcPr>
          <w:p>
            <w:pPr>
              <w:pStyle w:val="TableContents"/>
              <w:bidi w:val="0"/>
              <w:spacing w:before="60" w:after="6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60" w:after="60"/>
              <w:jc w:val="center"/>
              <w:rPr>
                <w:rFonts w:ascii="Montserrat;sans-serif" w:hAnsi="Montserrat;sans-serif"/>
                <w:color w:val="000000"/>
                <w:sz w:val="18"/>
              </w:rPr>
            </w:pPr>
            <w:r>
              <w:rPr>
                <w:rFonts w:ascii="Montserrat;sans-serif" w:hAnsi="Montserrat;sans-serif"/>
                <w:color w:val="000000"/>
                <w:sz w:val="18"/>
              </w:rPr>
              <w:t>74</w:t>
            </w:r>
          </w:p>
        </w:tc>
        <w:tc>
          <w:tcPr>
            <w:tcW w:w="146" w:type="dxa"/>
            <w:tcBorders>
              <w:bottom w:val="single" w:sz="4" w:space="0" w:color="000000"/>
            </w:tcBorders>
            <w:tcMar>
              <w:top w:w="0" w:type="dxa"/>
              <w:left w:w="0" w:type="dxa"/>
              <w:right w:w="0" w:type="dxa"/>
            </w:tcMar>
            <w:vAlign w:val="center"/>
          </w:tcPr>
          <w:p>
            <w:pPr>
              <w:pStyle w:val="TableContents"/>
              <w:bidi w:val="0"/>
              <w:spacing w:before="60" w:after="60"/>
              <w:jc w:val="center"/>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60" w:after="60"/>
              <w:jc w:val="center"/>
              <w:rPr/>
            </w:pPr>
            <w:r>
              <w:rPr/>
              <w:drawing>
                <wp:inline distT="0" distB="0" distL="0" distR="0">
                  <wp:extent cx="161925" cy="161925"/>
                  <wp:effectExtent l="0" t="0" r="0" b="0"/>
                  <wp:docPr id="94"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83" descr=""/>
                          <pic:cNvPicPr>
                            <a:picLocks noChangeAspect="1" noChangeArrowheads="1"/>
                          </pic:cNvPicPr>
                        </pic:nvPicPr>
                        <pic:blipFill>
                          <a:blip r:embed="rId87"/>
                          <a:stretch>
                            <a:fillRect/>
                          </a:stretch>
                        </pic:blipFill>
                        <pic:spPr bwMode="auto">
                          <a:xfrm>
                            <a:off x="0" y="0"/>
                            <a:ext cx="161925" cy="161925"/>
                          </a:xfrm>
                          <a:prstGeom prst="rect">
                            <a:avLst/>
                          </a:prstGeom>
                        </pic:spPr>
                      </pic:pic>
                    </a:graphicData>
                  </a:graphic>
                </wp:inline>
              </w:drawing>
            </w:r>
          </w:p>
        </w:tc>
        <w:tc>
          <w:tcPr>
            <w:tcW w:w="146" w:type="dxa"/>
            <w:tcBorders>
              <w:bottom w:val="single" w:sz="4" w:space="0" w:color="000000"/>
            </w:tcBorders>
            <w:tcMar>
              <w:top w:w="0" w:type="dxa"/>
              <w:left w:w="0" w:type="dxa"/>
              <w:right w:w="0" w:type="dxa"/>
            </w:tcMar>
            <w:vAlign w:val="center"/>
          </w:tcPr>
          <w:p>
            <w:pPr>
              <w:pStyle w:val="TableContents"/>
              <w:bidi w:val="0"/>
              <w:spacing w:before="60" w:after="60"/>
              <w:jc w:val="center"/>
              <w:rPr/>
            </w:pPr>
            <w:r>
              <w:rPr/>
              <w:t> </w:t>
            </w:r>
          </w:p>
        </w:tc>
        <w:tc>
          <w:tcPr>
            <w:tcW w:w="1576" w:type="dxa"/>
            <w:tcBorders>
              <w:bottom w:val="single" w:sz="4" w:space="0" w:color="000000"/>
            </w:tcBorders>
            <w:tcMar>
              <w:top w:w="0" w:type="dxa"/>
              <w:left w:w="0" w:type="dxa"/>
              <w:right w:w="0" w:type="dxa"/>
            </w:tcMar>
            <w:vAlign w:val="center"/>
          </w:tcPr>
          <w:p>
            <w:pPr>
              <w:pStyle w:val="TableContents"/>
              <w:bidi w:val="0"/>
              <w:spacing w:before="60" w:after="6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60" w:after="60"/>
              <w:jc w:val="center"/>
              <w:rPr/>
            </w:pPr>
            <w:r>
              <w:rPr/>
              <w:t> </w:t>
            </w:r>
          </w:p>
        </w:tc>
        <w:tc>
          <w:tcPr>
            <w:tcW w:w="1321" w:type="dxa"/>
            <w:tcBorders>
              <w:bottom w:val="single" w:sz="4" w:space="0" w:color="000000"/>
            </w:tcBorders>
            <w:tcMar>
              <w:top w:w="0" w:type="dxa"/>
              <w:left w:w="0" w:type="dxa"/>
              <w:right w:w="0" w:type="dxa"/>
            </w:tcMar>
            <w:vAlign w:val="center"/>
          </w:tcPr>
          <w:p>
            <w:pPr>
              <w:pStyle w:val="TableContents"/>
              <w:bidi w:val="0"/>
              <w:spacing w:before="60" w:after="60"/>
              <w:jc w:val="center"/>
              <w:rPr/>
            </w:pPr>
            <w:r>
              <w:rPr/>
              <w:drawing>
                <wp:inline distT="0" distB="0" distL="0" distR="0">
                  <wp:extent cx="161925" cy="161925"/>
                  <wp:effectExtent l="0" t="0" r="0" b="0"/>
                  <wp:docPr id="95"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84" descr=""/>
                          <pic:cNvPicPr>
                            <a:picLocks noChangeAspect="1" noChangeArrowheads="1"/>
                          </pic:cNvPicPr>
                        </pic:nvPicPr>
                        <pic:blipFill>
                          <a:blip r:embed="rId88"/>
                          <a:stretch>
                            <a:fillRect/>
                          </a:stretch>
                        </pic:blipFill>
                        <pic:spPr bwMode="auto">
                          <a:xfrm>
                            <a:off x="0" y="0"/>
                            <a:ext cx="161925" cy="161925"/>
                          </a:xfrm>
                          <a:prstGeom prst="rect">
                            <a:avLst/>
                          </a:prstGeom>
                        </pic:spPr>
                      </pic:pic>
                    </a:graphicData>
                  </a:graphic>
                </wp:inline>
              </w:drawing>
            </w:r>
          </w:p>
        </w:tc>
        <w:tc>
          <w:tcPr>
            <w:tcW w:w="146" w:type="dxa"/>
            <w:tcBorders>
              <w:bottom w:val="single" w:sz="4" w:space="0" w:color="000000"/>
            </w:tcBorders>
            <w:tcMar>
              <w:top w:w="0" w:type="dxa"/>
              <w:left w:w="0" w:type="dxa"/>
              <w:right w:w="0" w:type="dxa"/>
            </w:tcMar>
            <w:vAlign w:val="center"/>
          </w:tcPr>
          <w:p>
            <w:pPr>
              <w:pStyle w:val="TableContents"/>
              <w:bidi w:val="0"/>
              <w:spacing w:before="60" w:after="60"/>
              <w:jc w:val="center"/>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60" w:after="6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60" w:after="60"/>
              <w:jc w:val="center"/>
              <w:rPr/>
            </w:pPr>
            <w:r>
              <w:rPr/>
              <w:t> </w:t>
            </w:r>
          </w:p>
        </w:tc>
        <w:tc>
          <w:tcPr>
            <w:tcW w:w="1426" w:type="dxa"/>
            <w:tcBorders>
              <w:bottom w:val="single" w:sz="4" w:space="0" w:color="000000"/>
            </w:tcBorders>
            <w:tcMar>
              <w:top w:w="0" w:type="dxa"/>
              <w:left w:w="0" w:type="dxa"/>
              <w:right w:w="0" w:type="dxa"/>
            </w:tcMar>
            <w:vAlign w:val="center"/>
          </w:tcPr>
          <w:p>
            <w:pPr>
              <w:pStyle w:val="TableContents"/>
              <w:bidi w:val="0"/>
              <w:spacing w:before="60" w:after="60"/>
              <w:jc w:val="center"/>
              <w:rPr/>
            </w:pPr>
            <w:r>
              <w:rPr/>
              <w:drawing>
                <wp:inline distT="0" distB="0" distL="0" distR="0">
                  <wp:extent cx="161925" cy="161925"/>
                  <wp:effectExtent l="0" t="0" r="0" b="0"/>
                  <wp:docPr id="96"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85" descr=""/>
                          <pic:cNvPicPr>
                            <a:picLocks noChangeAspect="1" noChangeArrowheads="1"/>
                          </pic:cNvPicPr>
                        </pic:nvPicPr>
                        <pic:blipFill>
                          <a:blip r:embed="rId89"/>
                          <a:stretch>
                            <a:fillRect/>
                          </a:stretch>
                        </pic:blipFill>
                        <pic:spPr bwMode="auto">
                          <a:xfrm>
                            <a:off x="0" y="0"/>
                            <a:ext cx="161925" cy="161925"/>
                          </a:xfrm>
                          <a:prstGeom prst="rect">
                            <a:avLst/>
                          </a:prstGeom>
                        </pic:spPr>
                      </pic:pic>
                    </a:graphicData>
                  </a:graphic>
                </wp:inline>
              </w:drawing>
            </w:r>
          </w:p>
        </w:tc>
        <w:tc>
          <w:tcPr>
            <w:tcW w:w="146" w:type="dxa"/>
            <w:tcBorders>
              <w:bottom w:val="single" w:sz="4" w:space="0" w:color="000000"/>
            </w:tcBorders>
            <w:tcMar>
              <w:top w:w="0" w:type="dxa"/>
              <w:left w:w="0" w:type="dxa"/>
              <w:right w:w="0" w:type="dxa"/>
            </w:tcMar>
            <w:vAlign w:val="center"/>
          </w:tcPr>
          <w:p>
            <w:pPr>
              <w:pStyle w:val="TableContents"/>
              <w:bidi w:val="0"/>
              <w:spacing w:before="60" w:after="60"/>
              <w:jc w:val="center"/>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60" w:after="60"/>
              <w:ind w:left="0" w:right="0" w:firstLine="60"/>
              <w:jc w:val="center"/>
              <w:rPr>
                <w:rFonts w:ascii="Montserrat;sans-serif" w:hAnsi="Montserrat;sans-serif"/>
                <w:color w:val="000000"/>
                <w:sz w:val="18"/>
              </w:rPr>
            </w:pPr>
            <w:r>
              <w:rPr>
                <w:rFonts w:ascii="Montserrat;sans-serif" w:hAnsi="Montserrat;sans-serif"/>
                <w:color w:val="000000"/>
                <w:sz w:val="18"/>
              </w:rPr>
              <w:t>2015</w:t>
            </w:r>
          </w:p>
        </w:tc>
      </w:tr>
      <w:tr>
        <w:trPr/>
        <w:tc>
          <w:tcPr>
            <w:tcW w:w="1394" w:type="dxa"/>
            <w:tcBorders>
              <w:bottom w:val="single" w:sz="4" w:space="0" w:color="000000"/>
            </w:tcBorders>
            <w:tcMar>
              <w:top w:w="0" w:type="dxa"/>
              <w:left w:w="0" w:type="dxa"/>
              <w:right w:w="0" w:type="dxa"/>
            </w:tcMar>
            <w:vAlign w:val="center"/>
          </w:tcPr>
          <w:p>
            <w:pPr>
              <w:pStyle w:val="TableContents"/>
              <w:bidi w:val="0"/>
              <w:spacing w:before="60" w:after="60"/>
              <w:ind w:left="60" w:right="0" w:firstLine="60"/>
              <w:jc w:val="left"/>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Greg Lavender</w:t>
            </w:r>
          </w:p>
        </w:tc>
        <w:tc>
          <w:tcPr>
            <w:tcW w:w="146" w:type="dxa"/>
            <w:tcBorders>
              <w:bottom w:val="single" w:sz="4" w:space="0" w:color="000000"/>
            </w:tcBorders>
            <w:tcMar>
              <w:top w:w="0" w:type="dxa"/>
              <w:left w:w="0" w:type="dxa"/>
              <w:right w:w="0" w:type="dxa"/>
            </w:tcMar>
            <w:vAlign w:val="center"/>
          </w:tcPr>
          <w:p>
            <w:pPr>
              <w:pStyle w:val="TableContents"/>
              <w:bidi w:val="0"/>
              <w:spacing w:before="60" w:after="6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60" w:after="60"/>
              <w:jc w:val="center"/>
              <w:rPr>
                <w:rFonts w:ascii="Montserrat;sans-serif" w:hAnsi="Montserrat;sans-serif"/>
                <w:color w:val="000000"/>
                <w:sz w:val="18"/>
              </w:rPr>
            </w:pPr>
            <w:r>
              <w:rPr>
                <w:rFonts w:ascii="Montserrat;sans-serif" w:hAnsi="Montserrat;sans-serif"/>
                <w:color w:val="000000"/>
                <w:sz w:val="18"/>
              </w:rPr>
              <w:t>66</w:t>
            </w:r>
          </w:p>
        </w:tc>
        <w:tc>
          <w:tcPr>
            <w:tcW w:w="146" w:type="dxa"/>
            <w:tcBorders>
              <w:bottom w:val="single" w:sz="4" w:space="0" w:color="000000"/>
            </w:tcBorders>
            <w:tcMar>
              <w:top w:w="0" w:type="dxa"/>
              <w:left w:w="0" w:type="dxa"/>
              <w:right w:w="0" w:type="dxa"/>
            </w:tcMar>
            <w:vAlign w:val="center"/>
          </w:tcPr>
          <w:p>
            <w:pPr>
              <w:pStyle w:val="TableContents"/>
              <w:bidi w:val="0"/>
              <w:spacing w:before="60" w:after="60"/>
              <w:jc w:val="center"/>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60" w:after="6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60" w:after="60"/>
              <w:jc w:val="center"/>
              <w:rPr/>
            </w:pPr>
            <w:r>
              <w:rPr/>
              <w:t> </w:t>
            </w:r>
          </w:p>
        </w:tc>
        <w:tc>
          <w:tcPr>
            <w:tcW w:w="1576" w:type="dxa"/>
            <w:tcBorders>
              <w:bottom w:val="single" w:sz="4" w:space="0" w:color="000000"/>
            </w:tcBorders>
            <w:tcMar>
              <w:top w:w="0" w:type="dxa"/>
              <w:left w:w="0" w:type="dxa"/>
              <w:right w:w="0" w:type="dxa"/>
            </w:tcMar>
            <w:vAlign w:val="center"/>
          </w:tcPr>
          <w:p>
            <w:pPr>
              <w:pStyle w:val="TableContents"/>
              <w:bidi w:val="0"/>
              <w:spacing w:before="60" w:after="6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60" w:after="60"/>
              <w:jc w:val="center"/>
              <w:rPr/>
            </w:pPr>
            <w:r>
              <w:rPr/>
              <w:t> </w:t>
            </w:r>
          </w:p>
        </w:tc>
        <w:tc>
          <w:tcPr>
            <w:tcW w:w="1321" w:type="dxa"/>
            <w:tcBorders>
              <w:bottom w:val="single" w:sz="4" w:space="0" w:color="000000"/>
            </w:tcBorders>
            <w:tcMar>
              <w:top w:w="0" w:type="dxa"/>
              <w:left w:w="0" w:type="dxa"/>
              <w:right w:w="0" w:type="dxa"/>
            </w:tcMar>
            <w:vAlign w:val="center"/>
          </w:tcPr>
          <w:p>
            <w:pPr>
              <w:pStyle w:val="TableContents"/>
              <w:bidi w:val="0"/>
              <w:spacing w:before="60" w:after="6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60" w:after="60"/>
              <w:jc w:val="center"/>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60" w:after="60"/>
              <w:jc w:val="center"/>
              <w:rPr/>
            </w:pPr>
            <w:r>
              <w:rPr/>
              <w:drawing>
                <wp:inline distT="0" distB="0" distL="0" distR="0">
                  <wp:extent cx="161925" cy="161925"/>
                  <wp:effectExtent l="0" t="0" r="0" b="0"/>
                  <wp:docPr id="97"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86" descr=""/>
                          <pic:cNvPicPr>
                            <a:picLocks noChangeAspect="1" noChangeArrowheads="1"/>
                          </pic:cNvPicPr>
                        </pic:nvPicPr>
                        <pic:blipFill>
                          <a:blip r:embed="rId90"/>
                          <a:stretch>
                            <a:fillRect/>
                          </a:stretch>
                        </pic:blipFill>
                        <pic:spPr bwMode="auto">
                          <a:xfrm>
                            <a:off x="0" y="0"/>
                            <a:ext cx="161925" cy="161925"/>
                          </a:xfrm>
                          <a:prstGeom prst="rect">
                            <a:avLst/>
                          </a:prstGeom>
                        </pic:spPr>
                      </pic:pic>
                    </a:graphicData>
                  </a:graphic>
                </wp:inline>
              </w:drawing>
            </w:r>
          </w:p>
        </w:tc>
        <w:tc>
          <w:tcPr>
            <w:tcW w:w="146" w:type="dxa"/>
            <w:tcBorders>
              <w:bottom w:val="single" w:sz="4" w:space="0" w:color="000000"/>
            </w:tcBorders>
            <w:tcMar>
              <w:top w:w="0" w:type="dxa"/>
              <w:left w:w="0" w:type="dxa"/>
              <w:right w:w="0" w:type="dxa"/>
            </w:tcMar>
            <w:vAlign w:val="center"/>
          </w:tcPr>
          <w:p>
            <w:pPr>
              <w:pStyle w:val="TableContents"/>
              <w:bidi w:val="0"/>
              <w:spacing w:before="60" w:after="60"/>
              <w:jc w:val="center"/>
              <w:rPr/>
            </w:pPr>
            <w:r>
              <w:rPr/>
              <w:t> </w:t>
            </w:r>
          </w:p>
        </w:tc>
        <w:tc>
          <w:tcPr>
            <w:tcW w:w="1426" w:type="dxa"/>
            <w:tcBorders>
              <w:bottom w:val="single" w:sz="4" w:space="0" w:color="000000"/>
            </w:tcBorders>
            <w:tcMar>
              <w:top w:w="0" w:type="dxa"/>
              <w:left w:w="0" w:type="dxa"/>
              <w:right w:w="0" w:type="dxa"/>
            </w:tcMar>
            <w:vAlign w:val="center"/>
          </w:tcPr>
          <w:p>
            <w:pPr>
              <w:pStyle w:val="TableContents"/>
              <w:bidi w:val="0"/>
              <w:spacing w:before="60" w:after="60"/>
              <w:jc w:val="center"/>
              <w:rPr/>
            </w:pPr>
            <w:r>
              <w:rPr/>
              <w:drawing>
                <wp:inline distT="0" distB="0" distL="0" distR="0">
                  <wp:extent cx="161925" cy="161925"/>
                  <wp:effectExtent l="0" t="0" r="0" b="0"/>
                  <wp:docPr id="98"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87" descr=""/>
                          <pic:cNvPicPr>
                            <a:picLocks noChangeAspect="1" noChangeArrowheads="1"/>
                          </pic:cNvPicPr>
                        </pic:nvPicPr>
                        <pic:blipFill>
                          <a:blip r:embed="rId91"/>
                          <a:stretch>
                            <a:fillRect/>
                          </a:stretch>
                        </pic:blipFill>
                        <pic:spPr bwMode="auto">
                          <a:xfrm>
                            <a:off x="0" y="0"/>
                            <a:ext cx="161925" cy="161925"/>
                          </a:xfrm>
                          <a:prstGeom prst="rect">
                            <a:avLst/>
                          </a:prstGeom>
                        </pic:spPr>
                      </pic:pic>
                    </a:graphicData>
                  </a:graphic>
                </wp:inline>
              </w:drawing>
            </w:r>
          </w:p>
        </w:tc>
        <w:tc>
          <w:tcPr>
            <w:tcW w:w="146" w:type="dxa"/>
            <w:tcBorders>
              <w:bottom w:val="single" w:sz="4" w:space="0" w:color="000000"/>
            </w:tcBorders>
            <w:tcMar>
              <w:top w:w="0" w:type="dxa"/>
              <w:left w:w="0" w:type="dxa"/>
              <w:right w:w="0" w:type="dxa"/>
            </w:tcMar>
            <w:vAlign w:val="center"/>
          </w:tcPr>
          <w:p>
            <w:pPr>
              <w:pStyle w:val="TableContents"/>
              <w:bidi w:val="0"/>
              <w:spacing w:before="60" w:after="60"/>
              <w:jc w:val="center"/>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60" w:after="60"/>
              <w:ind w:left="0" w:right="0" w:firstLine="58"/>
              <w:jc w:val="center"/>
              <w:rPr>
                <w:rFonts w:ascii="Montserrat;sans-serif" w:hAnsi="Montserrat;sans-serif"/>
                <w:color w:val="000000"/>
                <w:sz w:val="18"/>
              </w:rPr>
            </w:pPr>
            <w:r>
              <w:rPr>
                <w:rFonts w:ascii="Montserrat;sans-serif" w:hAnsi="Montserrat;sans-serif"/>
                <w:color w:val="000000"/>
                <w:sz w:val="18"/>
              </w:rPr>
              <w:t>2025</w:t>
            </w:r>
          </w:p>
        </w:tc>
      </w:tr>
      <w:tr>
        <w:trPr/>
        <w:tc>
          <w:tcPr>
            <w:tcW w:w="1394" w:type="dxa"/>
            <w:tcBorders>
              <w:bottom w:val="single" w:sz="4" w:space="0" w:color="000000"/>
            </w:tcBorders>
            <w:tcMar>
              <w:top w:w="0" w:type="dxa"/>
              <w:left w:w="0" w:type="dxa"/>
              <w:right w:w="0" w:type="dxa"/>
            </w:tcMar>
            <w:vAlign w:val="center"/>
          </w:tcPr>
          <w:p>
            <w:pPr>
              <w:pStyle w:val="TableContents"/>
              <w:bidi w:val="0"/>
              <w:spacing w:before="40" w:after="20"/>
              <w:ind w:left="58" w:right="0" w:firstLine="58"/>
              <w:jc w:val="left"/>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Rajiv Ramaswami</w:t>
            </w:r>
          </w:p>
          <w:p>
            <w:pPr>
              <w:pStyle w:val="TableContents"/>
              <w:bidi w:val="0"/>
              <w:spacing w:before="0" w:after="40"/>
              <w:ind w:left="58" w:right="0" w:firstLine="58"/>
              <w:jc w:val="left"/>
              <w:rPr>
                <w:rFonts w:ascii="Montserrat;sans-serif" w:hAnsi="Montserrat;sans-serif"/>
                <w:i/>
                <w:color w:val="000000"/>
                <w:sz w:val="17"/>
              </w:rPr>
            </w:pPr>
            <w:r>
              <w:rPr>
                <w:rFonts w:ascii="Montserrat;sans-serif" w:hAnsi="Montserrat;sans-serif"/>
                <w:i/>
                <w:color w:val="000000"/>
                <w:sz w:val="17"/>
              </w:rPr>
              <w:t>Chief Executive Officer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 w:type="dxa"/>
            <w:tcBorders>
              <w:bottom w:val="single" w:sz="4" w:space="0" w:color="000000"/>
            </w:tcBorders>
            <w:tcMar>
              <w:top w:w="0" w:type="dxa"/>
              <w:left w:w="0" w:type="dxa"/>
              <w:right w:w="0" w:type="dxa"/>
            </w:tcMar>
            <w:vAlign w:val="center"/>
          </w:tcPr>
          <w:p>
            <w:pPr>
              <w:pStyle w:val="TableContents"/>
              <w:bidi w:val="0"/>
              <w:spacing w:before="20" w:after="20"/>
              <w:jc w:val="center"/>
              <w:rPr>
                <w:rFonts w:ascii="Montserrat;sans-serif" w:hAnsi="Montserrat;sans-serif"/>
                <w:color w:val="000000"/>
                <w:sz w:val="18"/>
              </w:rPr>
            </w:pPr>
            <w:r>
              <w:rPr>
                <w:rFonts w:ascii="Montserrat;sans-serif" w:hAnsi="Montserrat;sans-serif"/>
                <w:color w:val="000000"/>
                <w:sz w:val="18"/>
              </w:rPr>
              <w:t>60</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4" w:space="0" w:color="000000"/>
            </w:tcBorders>
            <w:tcMar>
              <w:top w:w="0" w:type="dxa"/>
              <w:left w:w="0" w:type="dxa"/>
              <w:right w:w="0" w:type="dxa"/>
            </w:tcMar>
            <w:vAlign w:val="center"/>
          </w:tcPr>
          <w:p>
            <w:pPr>
              <w:pStyle w:val="TableContents"/>
              <w:bidi w:val="0"/>
              <w:spacing w:before="20" w:after="20"/>
              <w:ind w:left="0" w:right="0" w:firstLine="60"/>
              <w:jc w:val="center"/>
              <w:rPr>
                <w:rFonts w:ascii="Montserrat;sans-serif" w:hAnsi="Montserrat;sans-serif"/>
                <w:color w:val="000000"/>
                <w:sz w:val="18"/>
              </w:rPr>
            </w:pPr>
            <w:r>
              <w:rPr>
                <w:rFonts w:ascii="Montserrat;sans-serif" w:hAnsi="Montserrat;sans-serif"/>
                <w:color w:val="000000"/>
                <w:sz w:val="18"/>
              </w:rPr>
              <w:t>2020</w:t>
            </w:r>
          </w:p>
        </w:tc>
      </w:tr>
      <w:tr>
        <w:trPr/>
        <w:tc>
          <w:tcPr>
            <w:tcW w:w="1394" w:type="dxa"/>
            <w:tcBorders>
              <w:bottom w:val="single" w:sz="4" w:space="0" w:color="000000"/>
            </w:tcBorders>
            <w:tcMar>
              <w:top w:w="0" w:type="dxa"/>
              <w:left w:w="0" w:type="dxa"/>
              <w:right w:w="0" w:type="dxa"/>
            </w:tcMar>
            <w:vAlign w:val="center"/>
          </w:tcPr>
          <w:p>
            <w:pPr>
              <w:pStyle w:val="TableContents"/>
              <w:bidi w:val="0"/>
              <w:spacing w:before="60" w:after="60"/>
              <w:ind w:left="60" w:right="0" w:firstLine="60"/>
              <w:jc w:val="left"/>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Gayle Sheppard</w:t>
            </w:r>
          </w:p>
        </w:tc>
        <w:tc>
          <w:tcPr>
            <w:tcW w:w="146" w:type="dxa"/>
            <w:tcBorders>
              <w:bottom w:val="single" w:sz="4" w:space="0" w:color="000000"/>
            </w:tcBorders>
            <w:tcMar>
              <w:top w:w="0" w:type="dxa"/>
              <w:left w:w="0" w:type="dxa"/>
              <w:right w:w="0" w:type="dxa"/>
            </w:tcMar>
            <w:vAlign w:val="center"/>
          </w:tcPr>
          <w:p>
            <w:pPr>
              <w:pStyle w:val="TableContents"/>
              <w:bidi w:val="0"/>
              <w:spacing w:before="20" w:after="2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20" w:after="20"/>
              <w:jc w:val="center"/>
              <w:rPr>
                <w:rFonts w:ascii="Montserrat;sans-serif" w:hAnsi="Montserrat;sans-serif"/>
                <w:color w:val="000000"/>
                <w:sz w:val="18"/>
              </w:rPr>
            </w:pPr>
            <w:r>
              <w:rPr>
                <w:rFonts w:ascii="Montserrat;sans-serif" w:hAnsi="Montserrat;sans-serif"/>
                <w:color w:val="000000"/>
                <w:sz w:val="18"/>
              </w:rPr>
              <w:t>72</w:t>
            </w:r>
          </w:p>
        </w:tc>
        <w:tc>
          <w:tcPr>
            <w:tcW w:w="146" w:type="dxa"/>
            <w:tcBorders>
              <w:bottom w:val="single" w:sz="4" w:space="0" w:color="000000"/>
            </w:tcBorders>
            <w:tcMar>
              <w:top w:w="0" w:type="dxa"/>
              <w:left w:w="0" w:type="dxa"/>
              <w:right w:w="0" w:type="dxa"/>
            </w:tcMar>
            <w:vAlign w:val="center"/>
          </w:tcPr>
          <w:p>
            <w:pPr>
              <w:pStyle w:val="TableContents"/>
              <w:bidi w:val="0"/>
              <w:spacing w:before="20" w:after="20"/>
              <w:jc w:val="center"/>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60" w:after="60"/>
              <w:jc w:val="center"/>
              <w:rPr/>
            </w:pPr>
            <w:r>
              <w:rPr/>
              <w:drawing>
                <wp:inline distT="0" distB="0" distL="0" distR="0">
                  <wp:extent cx="161925" cy="161925"/>
                  <wp:effectExtent l="0" t="0" r="0" b="0"/>
                  <wp:docPr id="99"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88" descr=""/>
                          <pic:cNvPicPr>
                            <a:picLocks noChangeAspect="1" noChangeArrowheads="1"/>
                          </pic:cNvPicPr>
                        </pic:nvPicPr>
                        <pic:blipFill>
                          <a:blip r:embed="rId92"/>
                          <a:stretch>
                            <a:fillRect/>
                          </a:stretch>
                        </pic:blipFill>
                        <pic:spPr bwMode="auto">
                          <a:xfrm>
                            <a:off x="0" y="0"/>
                            <a:ext cx="161925" cy="161925"/>
                          </a:xfrm>
                          <a:prstGeom prst="rect">
                            <a:avLst/>
                          </a:prstGeom>
                        </pic:spPr>
                      </pic:pic>
                    </a:graphicData>
                  </a:graphic>
                </wp:inline>
              </w:drawing>
            </w:r>
          </w:p>
        </w:tc>
        <w:tc>
          <w:tcPr>
            <w:tcW w:w="146" w:type="dxa"/>
            <w:tcBorders>
              <w:bottom w:val="single" w:sz="4" w:space="0" w:color="000000"/>
            </w:tcBorders>
            <w:tcMar>
              <w:top w:w="0" w:type="dxa"/>
              <w:left w:w="0" w:type="dxa"/>
              <w:right w:w="0" w:type="dxa"/>
            </w:tcMar>
            <w:vAlign w:val="center"/>
          </w:tcPr>
          <w:p>
            <w:pPr>
              <w:pStyle w:val="TableContents"/>
              <w:bidi w:val="0"/>
              <w:spacing w:before="20" w:after="20"/>
              <w:jc w:val="center"/>
              <w:rPr/>
            </w:pPr>
            <w:r>
              <w:rPr/>
              <w:t> </w:t>
            </w:r>
          </w:p>
        </w:tc>
        <w:tc>
          <w:tcPr>
            <w:tcW w:w="1576" w:type="dxa"/>
            <w:tcBorders>
              <w:bottom w:val="single" w:sz="4" w:space="0" w:color="000000"/>
            </w:tcBorders>
            <w:tcMar>
              <w:top w:w="0" w:type="dxa"/>
              <w:left w:w="0" w:type="dxa"/>
              <w:right w:w="0" w:type="dxa"/>
            </w:tcMar>
            <w:vAlign w:val="center"/>
          </w:tcPr>
          <w:p>
            <w:pPr>
              <w:pStyle w:val="TableContents"/>
              <w:bidi w:val="0"/>
              <w:spacing w:before="20" w:after="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20" w:after="20"/>
              <w:jc w:val="center"/>
              <w:rPr/>
            </w:pPr>
            <w:r>
              <w:rPr/>
              <w:t> </w:t>
            </w:r>
          </w:p>
        </w:tc>
        <w:tc>
          <w:tcPr>
            <w:tcW w:w="1321" w:type="dxa"/>
            <w:tcBorders>
              <w:bottom w:val="single" w:sz="4" w:space="0" w:color="000000"/>
            </w:tcBorders>
            <w:tcMar>
              <w:top w:w="0" w:type="dxa"/>
              <w:left w:w="0" w:type="dxa"/>
              <w:right w:w="0" w:type="dxa"/>
            </w:tcMar>
            <w:vAlign w:val="center"/>
          </w:tcPr>
          <w:p>
            <w:pPr>
              <w:pStyle w:val="TableContents"/>
              <w:bidi w:val="0"/>
              <w:spacing w:before="20" w:after="2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20" w:after="20"/>
              <w:jc w:val="center"/>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60" w:after="60"/>
              <w:jc w:val="center"/>
              <w:rPr/>
            </w:pPr>
            <w:r>
              <w:rPr/>
              <w:drawing>
                <wp:inline distT="0" distB="0" distL="0" distR="0">
                  <wp:extent cx="161925" cy="161925"/>
                  <wp:effectExtent l="0" t="0" r="0" b="0"/>
                  <wp:docPr id="100"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89" descr=""/>
                          <pic:cNvPicPr>
                            <a:picLocks noChangeAspect="1" noChangeArrowheads="1"/>
                          </pic:cNvPicPr>
                        </pic:nvPicPr>
                        <pic:blipFill>
                          <a:blip r:embed="rId93"/>
                          <a:stretch>
                            <a:fillRect/>
                          </a:stretch>
                        </pic:blipFill>
                        <pic:spPr bwMode="auto">
                          <a:xfrm>
                            <a:off x="0" y="0"/>
                            <a:ext cx="161925" cy="161925"/>
                          </a:xfrm>
                          <a:prstGeom prst="rect">
                            <a:avLst/>
                          </a:prstGeom>
                        </pic:spPr>
                      </pic:pic>
                    </a:graphicData>
                  </a:graphic>
                </wp:inline>
              </w:drawing>
            </w:r>
          </w:p>
        </w:tc>
        <w:tc>
          <w:tcPr>
            <w:tcW w:w="146" w:type="dxa"/>
            <w:tcBorders>
              <w:bottom w:val="single" w:sz="4" w:space="0" w:color="000000"/>
            </w:tcBorders>
            <w:tcMar>
              <w:top w:w="0" w:type="dxa"/>
              <w:left w:w="0" w:type="dxa"/>
              <w:right w:w="0" w:type="dxa"/>
            </w:tcMar>
            <w:vAlign w:val="center"/>
          </w:tcPr>
          <w:p>
            <w:pPr>
              <w:pStyle w:val="TableContents"/>
              <w:bidi w:val="0"/>
              <w:spacing w:before="20" w:after="20"/>
              <w:jc w:val="center"/>
              <w:rPr/>
            </w:pPr>
            <w:r>
              <w:rPr/>
              <w:t> </w:t>
            </w:r>
          </w:p>
        </w:tc>
        <w:tc>
          <w:tcPr>
            <w:tcW w:w="1426" w:type="dxa"/>
            <w:tcBorders>
              <w:bottom w:val="single" w:sz="4" w:space="0" w:color="000000"/>
            </w:tcBorders>
            <w:tcMar>
              <w:top w:w="0" w:type="dxa"/>
              <w:left w:w="0" w:type="dxa"/>
              <w:right w:w="0" w:type="dxa"/>
            </w:tcMar>
            <w:vAlign w:val="center"/>
          </w:tcPr>
          <w:p>
            <w:pPr>
              <w:pStyle w:val="TableContents"/>
              <w:bidi w:val="0"/>
              <w:spacing w:before="60" w:after="60"/>
              <w:jc w:val="center"/>
              <w:rPr/>
            </w:pPr>
            <w:r>
              <w:rPr/>
              <w:drawing>
                <wp:inline distT="0" distB="0" distL="0" distR="0">
                  <wp:extent cx="161925" cy="161925"/>
                  <wp:effectExtent l="0" t="0" r="0" b="0"/>
                  <wp:docPr id="101"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0" descr=""/>
                          <pic:cNvPicPr>
                            <a:picLocks noChangeAspect="1" noChangeArrowheads="1"/>
                          </pic:cNvPicPr>
                        </pic:nvPicPr>
                        <pic:blipFill>
                          <a:blip r:embed="rId94"/>
                          <a:stretch>
                            <a:fillRect/>
                          </a:stretch>
                        </pic:blipFill>
                        <pic:spPr bwMode="auto">
                          <a:xfrm>
                            <a:off x="0" y="0"/>
                            <a:ext cx="161925" cy="161925"/>
                          </a:xfrm>
                          <a:prstGeom prst="rect">
                            <a:avLst/>
                          </a:prstGeom>
                        </pic:spPr>
                      </pic:pic>
                    </a:graphicData>
                  </a:graphic>
                </wp:inline>
              </w:drawing>
            </w:r>
          </w:p>
        </w:tc>
        <w:tc>
          <w:tcPr>
            <w:tcW w:w="146" w:type="dxa"/>
            <w:tcBorders>
              <w:bottom w:val="single" w:sz="4" w:space="0" w:color="000000"/>
            </w:tcBorders>
            <w:tcMar>
              <w:top w:w="0" w:type="dxa"/>
              <w:left w:w="0" w:type="dxa"/>
              <w:right w:w="0" w:type="dxa"/>
            </w:tcMar>
            <w:vAlign w:val="center"/>
          </w:tcPr>
          <w:p>
            <w:pPr>
              <w:pStyle w:val="TableContents"/>
              <w:bidi w:val="0"/>
              <w:spacing w:before="20" w:after="20"/>
              <w:jc w:val="center"/>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20" w:after="20"/>
              <w:ind w:left="0" w:right="0" w:firstLine="60"/>
              <w:jc w:val="center"/>
              <w:rPr>
                <w:rFonts w:ascii="Montserrat;sans-serif" w:hAnsi="Montserrat;sans-serif"/>
                <w:color w:val="000000"/>
                <w:sz w:val="18"/>
              </w:rPr>
            </w:pPr>
            <w:r>
              <w:rPr>
                <w:rFonts w:ascii="Montserrat;sans-serif" w:hAnsi="Montserrat;sans-serif"/>
                <w:color w:val="000000"/>
                <w:sz w:val="18"/>
              </w:rPr>
              <w:t>2022</w:t>
            </w:r>
          </w:p>
        </w:tc>
      </w:tr>
      <w:tr>
        <w:trPr/>
        <w:tc>
          <w:tcPr>
            <w:tcW w:w="1394" w:type="dxa"/>
            <w:tcBorders>
              <w:bottom w:val="single" w:sz="4" w:space="0" w:color="7855FA"/>
            </w:tcBorders>
            <w:tcMar>
              <w:top w:w="0" w:type="dxa"/>
              <w:left w:w="0" w:type="dxa"/>
              <w:right w:w="0" w:type="dxa"/>
            </w:tcMar>
            <w:vAlign w:val="center"/>
          </w:tcPr>
          <w:p>
            <w:pPr>
              <w:pStyle w:val="TableContents"/>
              <w:bidi w:val="0"/>
              <w:spacing w:before="60" w:after="60"/>
              <w:ind w:left="60" w:right="0" w:firstLine="60"/>
              <w:jc w:val="left"/>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Mark Templeton</w:t>
            </w:r>
          </w:p>
        </w:tc>
        <w:tc>
          <w:tcPr>
            <w:tcW w:w="146" w:type="dxa"/>
            <w:tcBorders>
              <w:bottom w:val="single" w:sz="4" w:space="0" w:color="7855F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 w:type="dxa"/>
            <w:tcBorders>
              <w:bottom w:val="single" w:sz="4" w:space="0" w:color="7855FA"/>
            </w:tcBorders>
            <w:tcMar>
              <w:top w:w="0" w:type="dxa"/>
              <w:left w:w="0" w:type="dxa"/>
              <w:right w:w="0" w:type="dxa"/>
            </w:tcMar>
            <w:vAlign w:val="center"/>
          </w:tcPr>
          <w:p>
            <w:pPr>
              <w:pStyle w:val="TableContents"/>
              <w:bidi w:val="0"/>
              <w:spacing w:before="60" w:after="60"/>
              <w:jc w:val="center"/>
              <w:rPr>
                <w:rFonts w:ascii="Montserrat;sans-serif" w:hAnsi="Montserrat;sans-serif"/>
                <w:color w:val="000000"/>
                <w:sz w:val="18"/>
              </w:rPr>
            </w:pPr>
            <w:r>
              <w:rPr>
                <w:rFonts w:ascii="Montserrat;sans-serif" w:hAnsi="Montserrat;sans-serif"/>
                <w:color w:val="000000"/>
                <w:sz w:val="18"/>
              </w:rPr>
              <w:t>74</w:t>
            </w:r>
          </w:p>
        </w:tc>
        <w:tc>
          <w:tcPr>
            <w:tcW w:w="146" w:type="dxa"/>
            <w:tcBorders>
              <w:bottom w:val="single" w:sz="4" w:space="0" w:color="7855F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tcBorders>
              <w:bottom w:val="single" w:sz="4" w:space="0" w:color="7855FA"/>
            </w:tcBorders>
            <w:tcMar>
              <w:top w:w="0" w:type="dxa"/>
              <w:left w:w="0" w:type="dxa"/>
              <w:right w:w="0" w:type="dxa"/>
            </w:tcMar>
            <w:vAlign w:val="center"/>
          </w:tcPr>
          <w:p>
            <w:pPr>
              <w:pStyle w:val="TableContents"/>
              <w:bidi w:val="0"/>
              <w:spacing w:before="60" w:after="60"/>
              <w:jc w:val="center"/>
              <w:rPr/>
            </w:pPr>
            <w:r>
              <w:rPr/>
              <w:t> </w:t>
            </w:r>
          </w:p>
        </w:tc>
        <w:tc>
          <w:tcPr>
            <w:tcW w:w="146" w:type="dxa"/>
            <w:tcBorders>
              <w:bottom w:val="single" w:sz="4" w:space="0" w:color="7855F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6" w:type="dxa"/>
            <w:tcBorders>
              <w:bottom w:val="single" w:sz="4" w:space="0" w:color="7855FA"/>
            </w:tcBorders>
            <w:tcMar>
              <w:top w:w="0" w:type="dxa"/>
              <w:left w:w="0" w:type="dxa"/>
              <w:right w:w="0" w:type="dxa"/>
            </w:tcMar>
            <w:vAlign w:val="center"/>
          </w:tcPr>
          <w:p>
            <w:pPr>
              <w:pStyle w:val="TableContents"/>
              <w:bidi w:val="0"/>
              <w:spacing w:before="60" w:after="60"/>
              <w:jc w:val="center"/>
              <w:rPr/>
            </w:pPr>
            <w:r>
              <w:rPr/>
              <w:drawing>
                <wp:inline distT="0" distB="0" distL="0" distR="0">
                  <wp:extent cx="161925" cy="161925"/>
                  <wp:effectExtent l="0" t="0" r="0" b="0"/>
                  <wp:docPr id="102"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1" descr=""/>
                          <pic:cNvPicPr>
                            <a:picLocks noChangeAspect="1" noChangeArrowheads="1"/>
                          </pic:cNvPicPr>
                        </pic:nvPicPr>
                        <pic:blipFill>
                          <a:blip r:embed="rId95"/>
                          <a:stretch>
                            <a:fillRect/>
                          </a:stretch>
                        </pic:blipFill>
                        <pic:spPr bwMode="auto">
                          <a:xfrm>
                            <a:off x="0" y="0"/>
                            <a:ext cx="161925" cy="161925"/>
                          </a:xfrm>
                          <a:prstGeom prst="rect">
                            <a:avLst/>
                          </a:prstGeom>
                        </pic:spPr>
                      </pic:pic>
                    </a:graphicData>
                  </a:graphic>
                </wp:inline>
              </w:drawing>
            </w:r>
          </w:p>
        </w:tc>
        <w:tc>
          <w:tcPr>
            <w:tcW w:w="146" w:type="dxa"/>
            <w:tcBorders>
              <w:bottom w:val="single" w:sz="4" w:space="0" w:color="7855F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1" w:type="dxa"/>
            <w:tcBorders>
              <w:bottom w:val="single" w:sz="4" w:space="0" w:color="7855F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7855F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tcBorders>
              <w:bottom w:val="single" w:sz="4" w:space="0" w:color="7855FA"/>
            </w:tcBorders>
            <w:tcMar>
              <w:top w:w="0" w:type="dxa"/>
              <w:left w:w="0" w:type="dxa"/>
              <w:right w:w="0" w:type="dxa"/>
            </w:tcMar>
            <w:vAlign w:val="center"/>
          </w:tcPr>
          <w:p>
            <w:pPr>
              <w:pStyle w:val="TableContents"/>
              <w:bidi w:val="0"/>
              <w:spacing w:before="60" w:after="60"/>
              <w:jc w:val="center"/>
              <w:rPr/>
            </w:pPr>
            <w:r>
              <w:rPr/>
              <w:drawing>
                <wp:inline distT="0" distB="0" distL="0" distR="0">
                  <wp:extent cx="161925" cy="161925"/>
                  <wp:effectExtent l="0" t="0" r="0" b="0"/>
                  <wp:docPr id="103"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92" descr=""/>
                          <pic:cNvPicPr>
                            <a:picLocks noChangeAspect="1" noChangeArrowheads="1"/>
                          </pic:cNvPicPr>
                        </pic:nvPicPr>
                        <pic:blipFill>
                          <a:blip r:embed="rId96"/>
                          <a:stretch>
                            <a:fillRect/>
                          </a:stretch>
                        </pic:blipFill>
                        <pic:spPr bwMode="auto">
                          <a:xfrm>
                            <a:off x="0" y="0"/>
                            <a:ext cx="161925" cy="161925"/>
                          </a:xfrm>
                          <a:prstGeom prst="rect">
                            <a:avLst/>
                          </a:prstGeom>
                        </pic:spPr>
                      </pic:pic>
                    </a:graphicData>
                  </a:graphic>
                </wp:inline>
              </w:drawing>
            </w:r>
          </w:p>
        </w:tc>
        <w:tc>
          <w:tcPr>
            <w:tcW w:w="146" w:type="dxa"/>
            <w:tcBorders>
              <w:bottom w:val="single" w:sz="4" w:space="0" w:color="7855F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6" w:type="dxa"/>
            <w:tcBorders>
              <w:bottom w:val="single" w:sz="4" w:space="0" w:color="7855FA"/>
            </w:tcBorders>
            <w:tcMar>
              <w:top w:w="0" w:type="dxa"/>
              <w:left w:w="0" w:type="dxa"/>
              <w:right w:w="0" w:type="dxa"/>
            </w:tcMar>
            <w:vAlign w:val="center"/>
          </w:tcPr>
          <w:p>
            <w:pPr>
              <w:pStyle w:val="TableContents"/>
              <w:bidi w:val="0"/>
              <w:spacing w:before="60" w:after="60"/>
              <w:jc w:val="center"/>
              <w:rPr/>
            </w:pPr>
            <w:r>
              <w:rPr/>
              <w:drawing>
                <wp:inline distT="0" distB="0" distL="0" distR="0">
                  <wp:extent cx="161925" cy="161925"/>
                  <wp:effectExtent l="0" t="0" r="0" b="0"/>
                  <wp:docPr id="104"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93" descr=""/>
                          <pic:cNvPicPr>
                            <a:picLocks noChangeAspect="1" noChangeArrowheads="1"/>
                          </pic:cNvPicPr>
                        </pic:nvPicPr>
                        <pic:blipFill>
                          <a:blip r:embed="rId97"/>
                          <a:stretch>
                            <a:fillRect/>
                          </a:stretch>
                        </pic:blipFill>
                        <pic:spPr bwMode="auto">
                          <a:xfrm>
                            <a:off x="0" y="0"/>
                            <a:ext cx="161925" cy="161925"/>
                          </a:xfrm>
                          <a:prstGeom prst="rect">
                            <a:avLst/>
                          </a:prstGeom>
                        </pic:spPr>
                      </pic:pic>
                    </a:graphicData>
                  </a:graphic>
                </wp:inline>
              </w:drawing>
            </w:r>
          </w:p>
        </w:tc>
        <w:tc>
          <w:tcPr>
            <w:tcW w:w="146" w:type="dxa"/>
            <w:tcBorders>
              <w:bottom w:val="single" w:sz="4" w:space="0" w:color="7855F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4" w:space="0" w:color="7855FA"/>
            </w:tcBorders>
            <w:tcMar>
              <w:top w:w="0" w:type="dxa"/>
              <w:left w:w="0" w:type="dxa"/>
              <w:right w:w="0" w:type="dxa"/>
            </w:tcMar>
            <w:vAlign w:val="center"/>
          </w:tcPr>
          <w:p>
            <w:pPr>
              <w:pStyle w:val="TableContents"/>
              <w:bidi w:val="0"/>
              <w:spacing w:before="60" w:after="60"/>
              <w:jc w:val="center"/>
              <w:rPr>
                <w:rFonts w:ascii="Montserrat;sans-serif" w:hAnsi="Montserrat;sans-serif"/>
                <w:color w:val="000000"/>
                <w:sz w:val="18"/>
              </w:rPr>
            </w:pPr>
            <w:r>
              <w:rPr>
                <w:rFonts w:ascii="Montserrat;sans-serif" w:hAnsi="Montserrat;sans-serif"/>
                <w:color w:val="000000"/>
                <w:sz w:val="18"/>
              </w:rPr>
              <w:t>2023</w:t>
            </w:r>
          </w:p>
        </w:tc>
      </w:tr>
    </w:tbl>
    <w:p>
      <w:pPr>
        <w:pStyle w:val="TextBody"/>
        <w:bidi w:val="0"/>
        <w:jc w:val="both"/>
        <w:rPr/>
      </w:pPr>
      <w:r>
        <w:rPr/>
        <w:t> </w:t>
      </w:r>
    </w:p>
    <w:tbl>
      <w:tblPr>
        <w:tblW w:w="2004" w:type="dxa"/>
        <w:jc w:val="left"/>
        <w:tblInd w:w="0" w:type="dxa"/>
        <w:tblLayout w:type="fixed"/>
        <w:tblCellMar>
          <w:top w:w="28" w:type="dxa"/>
          <w:left w:w="28" w:type="dxa"/>
          <w:bottom w:w="28" w:type="dxa"/>
          <w:right w:w="28" w:type="dxa"/>
        </w:tblCellMar>
      </w:tblPr>
      <w:tblGrid>
        <w:gridCol w:w="311"/>
        <w:gridCol w:w="556"/>
        <w:gridCol w:w="296"/>
        <w:gridCol w:w="841"/>
      </w:tblGrid>
      <w:tr>
        <w:trPr/>
        <w:tc>
          <w:tcPr>
            <w:tcW w:w="31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311" w:type="dxa"/>
            <w:tcBorders/>
            <w:tcMar>
              <w:top w:w="0" w:type="dxa"/>
              <w:left w:w="0" w:type="dxa"/>
              <w:bottom w:w="0" w:type="dxa"/>
              <w:right w:w="0" w:type="dxa"/>
            </w:tcMar>
            <w:vAlign w:val="center"/>
          </w:tcPr>
          <w:p>
            <w:pPr>
              <w:pStyle w:val="TableContents"/>
              <w:bidi w:val="0"/>
              <w:spacing w:before="60" w:after="60"/>
              <w:jc w:val="center"/>
              <w:rPr/>
            </w:pPr>
            <w:r>
              <w:rPr/>
              <w:drawing>
                <wp:inline distT="0" distB="0" distL="0" distR="0">
                  <wp:extent cx="133350" cy="133350"/>
                  <wp:effectExtent l="0" t="0" r="0" b="0"/>
                  <wp:docPr id="105"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94" descr=""/>
                          <pic:cNvPicPr>
                            <a:picLocks noChangeAspect="1" noChangeArrowheads="1"/>
                          </pic:cNvPicPr>
                        </pic:nvPicPr>
                        <pic:blipFill>
                          <a:blip r:embed="rId98"/>
                          <a:stretch>
                            <a:fillRect/>
                          </a:stretch>
                        </pic:blipFill>
                        <pic:spPr bwMode="auto">
                          <a:xfrm>
                            <a:off x="0" y="0"/>
                            <a:ext cx="133350" cy="133350"/>
                          </a:xfrm>
                          <a:prstGeom prst="rect">
                            <a:avLst/>
                          </a:prstGeom>
                        </pic:spPr>
                      </pic:pic>
                    </a:graphicData>
                  </a:graphic>
                </wp:inline>
              </w:drawing>
            </w:r>
          </w:p>
        </w:tc>
        <w:tc>
          <w:tcPr>
            <w:tcW w:w="556" w:type="dxa"/>
            <w:tcBorders/>
            <w:tcMar>
              <w:top w:w="0" w:type="dxa"/>
              <w:left w:w="0" w:type="dxa"/>
              <w:bottom w:w="0" w:type="dxa"/>
              <w:right w:w="0" w:type="dxa"/>
            </w:tcMar>
            <w:vAlign w:val="center"/>
          </w:tcPr>
          <w:p>
            <w:pPr>
              <w:pStyle w:val="TableContents"/>
              <w:bidi w:val="0"/>
              <w:spacing w:before="120" w:after="283"/>
              <w:jc w:val="left"/>
              <w:rPr>
                <w:rFonts w:ascii="Montserrat;sans-serif" w:hAnsi="Montserrat;sans-serif"/>
                <w:color w:val="000000"/>
                <w:sz w:val="16"/>
              </w:rPr>
            </w:pPr>
            <w:r>
              <w:rPr>
                <w:rFonts w:ascii="Montserrat;sans-serif" w:hAnsi="Montserrat;sans-serif"/>
                <w:color w:val="000000"/>
                <w:sz w:val="16"/>
              </w:rPr>
              <w:t>Chair</w:t>
            </w:r>
          </w:p>
        </w:tc>
        <w:tc>
          <w:tcPr>
            <w:tcW w:w="296" w:type="dxa"/>
            <w:tcBorders/>
            <w:tcMar>
              <w:top w:w="0" w:type="dxa"/>
              <w:left w:w="0" w:type="dxa"/>
              <w:bottom w:w="0" w:type="dxa"/>
              <w:right w:w="0" w:type="dxa"/>
            </w:tcMar>
            <w:vAlign w:val="center"/>
          </w:tcPr>
          <w:p>
            <w:pPr>
              <w:pStyle w:val="TableContents"/>
              <w:bidi w:val="0"/>
              <w:spacing w:before="60" w:after="60"/>
              <w:jc w:val="center"/>
              <w:rPr/>
            </w:pPr>
            <w:r>
              <w:rPr/>
              <w:drawing>
                <wp:inline distT="0" distB="0" distL="0" distR="0">
                  <wp:extent cx="133350" cy="133350"/>
                  <wp:effectExtent l="0" t="0" r="0" b="0"/>
                  <wp:docPr id="106"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95" descr=""/>
                          <pic:cNvPicPr>
                            <a:picLocks noChangeAspect="1" noChangeArrowheads="1"/>
                          </pic:cNvPicPr>
                        </pic:nvPicPr>
                        <pic:blipFill>
                          <a:blip r:embed="rId99"/>
                          <a:stretch>
                            <a:fillRect/>
                          </a:stretch>
                        </pic:blipFill>
                        <pic:spPr bwMode="auto">
                          <a:xfrm>
                            <a:off x="0" y="0"/>
                            <a:ext cx="133350" cy="133350"/>
                          </a:xfrm>
                          <a:prstGeom prst="rect">
                            <a:avLst/>
                          </a:prstGeom>
                        </pic:spPr>
                      </pic:pic>
                    </a:graphicData>
                  </a:graphic>
                </wp:inline>
              </w:drawing>
            </w:r>
          </w:p>
        </w:tc>
        <w:tc>
          <w:tcPr>
            <w:tcW w:w="841" w:type="dxa"/>
            <w:tcBorders/>
            <w:tcMar>
              <w:top w:w="0" w:type="dxa"/>
              <w:left w:w="0" w:type="dxa"/>
              <w:bottom w:w="0" w:type="dxa"/>
              <w:right w:w="0" w:type="dxa"/>
            </w:tcMar>
            <w:vAlign w:val="center"/>
          </w:tcPr>
          <w:p>
            <w:pPr>
              <w:pStyle w:val="TableContents"/>
              <w:bidi w:val="0"/>
              <w:spacing w:before="120" w:after="283"/>
              <w:jc w:val="left"/>
              <w:rPr>
                <w:rFonts w:ascii="Montserrat;sans-serif" w:hAnsi="Montserrat;sans-serif"/>
                <w:color w:val="000000"/>
                <w:sz w:val="16"/>
              </w:rPr>
            </w:pPr>
            <w:r>
              <w:rPr>
                <w:rFonts w:ascii="Montserrat;sans-serif" w:hAnsi="Montserrat;sans-serif"/>
                <w:color w:val="000000"/>
                <w:sz w:val="16"/>
              </w:rPr>
              <w:t>Member</w:t>
            </w:r>
          </w:p>
        </w:tc>
      </w:tr>
    </w:tbl>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(1)</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Mr. Conway will not stand for re-election at the Annual Meeting.</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301"/>
        <w:gridCol w:w="2671"/>
      </w:tblGrid>
      <w:tr>
        <w:trPr/>
        <w:tc>
          <w:tcPr>
            <w:tcW w:w="30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12</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107"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96" descr=""/>
                          <pic:cNvPicPr>
                            <a:picLocks noChangeAspect="1" noChangeArrowheads="1"/>
                          </pic:cNvPicPr>
                        </pic:nvPicPr>
                        <pic:blipFill>
                          <a:blip r:embed="rId100"/>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rFonts w:ascii="Montserrat;sans-serif" w:hAnsi="Montserrat;sans-serif"/>
          <w:color w:val="000000"/>
          <w:sz w:val="13"/>
        </w:rPr>
      </w:pPr>
      <w:r>
        <w:rPr>
          <w:rFonts w:ascii="Montserrat;sans-serif" w:hAnsi="Montserrat;sans-serif"/>
          <w:color w:val="000000"/>
          <w:sz w:val="13"/>
        </w:rPr>
        <w:t>Corporate Governance</w:t>
      </w:r>
    </w:p>
    <w:p>
      <w:pPr>
        <w:pStyle w:val="TextBody"/>
        <w:bidi w:val="0"/>
        <w:spacing w:before="60" w:after="283"/>
        <w:jc w:val="right"/>
        <w:rPr>
          <w:rFonts w:ascii="Montserrat;sans-serif" w:hAnsi="Montserrat;sans-serif"/>
          <w:color w:val="000000"/>
          <w:sz w:val="12"/>
        </w:rPr>
      </w:pPr>
      <w:r>
        <w:rPr>
          <w:rFonts w:ascii="Montserrat;sans-serif" w:hAnsi="Montserrat;sans-serif"/>
          <w:color w:val="000000"/>
          <w:sz w:val="12"/>
        </w:rPr>
        <w:t>Board of Directors and Its Committees</w:t>
      </w:r>
    </w:p>
    <w:p>
      <w:pPr>
        <w:pStyle w:val="TextBody"/>
        <w:bidi w:val="0"/>
        <w:jc w:val="right"/>
        <w:rPr/>
      </w:pPr>
      <w:r>
        <w:rPr/>
        <w:t> </w:t>
      </w:r>
    </w:p>
    <w:p>
      <w:pPr>
        <w:pStyle w:val="TextBody"/>
        <w:bidi w:val="0"/>
        <w:jc w:val="right"/>
        <w:rPr/>
      </w:pPr>
      <w:r>
        <w:rPr/>
        <w:t> </w:t>
      </w:r>
    </w:p>
    <w:p>
      <w:pPr>
        <w:pStyle w:val="TextBody"/>
        <w:bidi w:val="0"/>
        <w:jc w:val="left"/>
        <w:rPr>
          <w:rFonts w:ascii="Montserrat;sans-serif" w:hAnsi="Montserrat;sans-serif"/>
          <w:b/>
          <w:color w:val="000000"/>
          <w:sz w:val="24"/>
        </w:rPr>
      </w:pPr>
      <w:r>
        <w:rPr>
          <w:rFonts w:ascii="Montserrat;sans-serif" w:hAnsi="Montserrat;sans-serif"/>
          <w:b/>
          <w:color w:val="000000"/>
          <w:sz w:val="24"/>
        </w:rPr>
        <w:t>Director Independence</w:t>
      </w:r>
    </w:p>
    <w:tbl>
      <w:tblPr>
        <w:tblW w:w="10205" w:type="dxa"/>
        <w:jc w:val="left"/>
        <w:tblInd w:w="0" w:type="dxa"/>
        <w:tblLayout w:type="fixed"/>
        <w:tblCellMar>
          <w:top w:w="28" w:type="dxa"/>
          <w:left w:w="28" w:type="dxa"/>
          <w:bottom w:w="28" w:type="dxa"/>
          <w:right w:w="28" w:type="dxa"/>
        </w:tblCellMar>
      </w:tblPr>
      <w:tblGrid>
        <w:gridCol w:w="6373"/>
        <w:gridCol w:w="146"/>
        <w:gridCol w:w="3686"/>
      </w:tblGrid>
      <w:tr>
        <w:trPr/>
        <w:tc>
          <w:tcPr>
            <w:tcW w:w="63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6" w:type="dxa"/>
            <w:tcBorders/>
            <w:vAlign w:val="center"/>
          </w:tcPr>
          <w:p>
            <w:pPr>
              <w:pStyle w:val="TableContents"/>
              <w:bidi w:val="0"/>
              <w:spacing w:before="0" w:after="283"/>
              <w:jc w:val="left"/>
              <w:rPr>
                <w:sz w:val="4"/>
                <w:szCs w:val="4"/>
              </w:rPr>
            </w:pPr>
            <w:r>
              <w:rPr>
                <w:sz w:val="4"/>
                <w:szCs w:val="4"/>
              </w:rPr>
            </w:r>
          </w:p>
        </w:tc>
      </w:tr>
      <w:tr>
        <w:trPr/>
        <w:tc>
          <w:tcPr>
            <w:tcW w:w="6373" w:type="dxa"/>
            <w:vMerge w:val="restart"/>
            <w:tcBorders/>
            <w:tcMar>
              <w:top w:w="0" w:type="dxa"/>
              <w:left w:w="0" w:type="dxa"/>
              <w:bottom w:w="0" w:type="dxa"/>
              <w:right w:w="0" w:type="dxa"/>
            </w:tcMar>
            <w:vAlign w:val="center"/>
          </w:tcPr>
          <w:p>
            <w:pPr>
              <w:pStyle w:val="TableContents"/>
              <w:bidi w:val="0"/>
              <w:spacing w:before="120" w:after="283"/>
              <w:jc w:val="both"/>
              <w:rPr>
                <w:rFonts w:ascii="Montserrat;sans-serif" w:hAnsi="Montserrat;sans-serif"/>
                <w:color w:val="000000"/>
                <w:sz w:val="18"/>
              </w:rPr>
            </w:pPr>
            <w:r>
              <w:rPr>
                <w:rFonts w:ascii="Montserrat;sans-serif" w:hAnsi="Montserrat;sans-serif"/>
                <w:color w:val="000000"/>
                <w:sz w:val="18"/>
              </w:rPr>
              <w:t>Our Class A common stock is listed on the Nasdaq Global Select Market tier of The Nasdaq Stock Market LLC. Under Nasdaq listing rules, a director will only qualify as an “independent director” if (i) the director meets the objective tests for independence set forth in Nasdaq listing rules and (ii) the director does not have a relationship that, in the opinion of the company’s board of directors, would interfere with the exercise of independent judgment in carrying out the responsibilities of a director. In addition, under Nasdaq listing rules, a compensation committee member must not have a relationship with the company that is material to the director’s ability to be independent from management in connection with the duties of a compensation committee member. Additionally, audit committee members must also satisfy the independence criteria set forth in Rule 10A-3 under the Securities Exchange Act of 1934, as amended (the “Exchange Act”).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company or any of its subsidiaries, or be an affiliated person of the company or any of its subsidiaries.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373"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373"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373"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373"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86" w:type="dxa"/>
            <w:tcBorders/>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Independent Director Nominees</w:t>
            </w:r>
          </w:p>
        </w:tc>
      </w:tr>
      <w:tr>
        <w:trPr/>
        <w:tc>
          <w:tcPr>
            <w:tcW w:w="6373"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86" w:type="dxa"/>
            <w:tcBorders/>
            <w:tcMar>
              <w:top w:w="0" w:type="dxa"/>
              <w:left w:w="0" w:type="dxa"/>
              <w:bottom w:w="0" w:type="dxa"/>
              <w:right w:w="0" w:type="dxa"/>
            </w:tcMar>
            <w:vAlign w:val="center"/>
          </w:tcPr>
          <w:p>
            <w:pPr>
              <w:pStyle w:val="TableContents"/>
              <w:bidi w:val="0"/>
              <w:spacing w:before="120" w:after="283"/>
              <w:jc w:val="center"/>
              <w:rPr/>
            </w:pPr>
            <w:r>
              <w:rPr/>
              <w:drawing>
                <wp:inline distT="0" distB="0" distL="0" distR="0">
                  <wp:extent cx="2257425" cy="1609725"/>
                  <wp:effectExtent l="0" t="0" r="0" b="0"/>
                  <wp:docPr id="108"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97" descr=""/>
                          <pic:cNvPicPr>
                            <a:picLocks noChangeAspect="1" noChangeArrowheads="1"/>
                          </pic:cNvPicPr>
                        </pic:nvPicPr>
                        <pic:blipFill>
                          <a:blip r:embed="rId101"/>
                          <a:stretch>
                            <a:fillRect/>
                          </a:stretch>
                        </pic:blipFill>
                        <pic:spPr bwMode="auto">
                          <a:xfrm>
                            <a:off x="0" y="0"/>
                            <a:ext cx="2257425" cy="1609725"/>
                          </a:xfrm>
                          <a:prstGeom prst="rect">
                            <a:avLst/>
                          </a:prstGeom>
                        </pic:spPr>
                      </pic:pic>
                    </a:graphicData>
                  </a:graphic>
                </wp:inline>
              </w:drawing>
            </w:r>
          </w:p>
        </w:tc>
      </w:tr>
    </w:tbl>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Our Board has undertaken a review of the independence of each of our directors and considered whether each director (i) meets the objective tests for independence set forth in Nasdaq listing rules and (ii) has a material relationship with us that would interfere with the exercise of independent judgment in carrying out the responsibilities of a director. As a result of this review, our Board determined that eight of our nine current directors are independent directors. Our independent directors are Mr. Brandt, Mr. Conway, Mr. de Groen, Ms. Gambale, Mr. Gomo, Dr. Lavender, Ms. Sheppard, and Mr. Templeton.</w:t>
      </w:r>
    </w:p>
    <w:p>
      <w:pPr>
        <w:pStyle w:val="TextBody"/>
        <w:bidi w:val="0"/>
        <w:spacing w:before="360" w:after="283"/>
        <w:jc w:val="left"/>
        <w:rPr>
          <w:rFonts w:ascii="Montserrat;sans-serif" w:hAnsi="Montserrat;sans-serif"/>
          <w:b/>
          <w:color w:val="000000"/>
          <w:sz w:val="24"/>
        </w:rPr>
      </w:pPr>
      <w:r>
        <w:rPr>
          <w:rFonts w:ascii="Montserrat;sans-serif" w:hAnsi="Montserrat;sans-serif"/>
          <w:b/>
          <w:color w:val="000000"/>
          <w:sz w:val="24"/>
        </w:rPr>
        <w:t>Committees of our Board</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Our Board has established an Audit Committee, a Compensation Committee, a Nominating and Corporate Governance Committee, and a Security and Privacy Committee. The composition and responsibilities of each of these committees are described below. Our Board may establish other committees to facilitate the management of our business. Copies of the charters of the Audit Committee, the Compensation Committee, and the Nominating and Corporate Governance Committee are available in the “</w:t>
      </w:r>
      <w:r>
        <w:rPr>
          <w:rFonts w:ascii="Montserrat;sans-serif" w:hAnsi="Montserrat;sans-serif"/>
          <w:color w:val="7855FA"/>
          <w:sz w:val="18"/>
        </w:rPr>
        <w:t>Governance Documents</w:t>
      </w:r>
      <w:r>
        <w:rPr>
          <w:rFonts w:ascii="Montserrat;sans-serif" w:hAnsi="Montserrat;sans-serif"/>
          <w:color w:val="000000"/>
          <w:sz w:val="18"/>
        </w:rPr>
        <w:t>” section of our investor relations website at https://ir.nutanix.com. Members serve on these committees until their resignation or until otherwise determined by our Board.</w:t>
      </w:r>
    </w:p>
    <w:p>
      <w:pPr>
        <w:pStyle w:val="TextBody"/>
        <w:bidi w:val="0"/>
        <w:spacing w:before="360" w:after="283"/>
        <w:jc w:val="left"/>
        <w:rPr>
          <w:rFonts w:ascii="Montserrat;sans-serif" w:hAnsi="Montserrat;sans-serif"/>
          <w:b/>
          <w:color w:val="000000"/>
          <w:sz w:val="24"/>
        </w:rPr>
      </w:pPr>
      <w:r>
        <w:rPr>
          <w:rFonts w:ascii="Montserrat;sans-serif" w:hAnsi="Montserrat;sans-serif"/>
          <w:b/>
          <w:color w:val="000000"/>
          <w:sz w:val="24"/>
        </w:rPr>
        <w:t>Board Leadership Structure</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Nominating and Corporate Governance Committee periodically considers our Board’s leadership structure and makes such recommendations to our Board as the Nominating and Corporate Governance Committee deems appropriate. Our corporate governance guidelines also provide that if our Board does not have an independent Chair of the Board, our Board will appoint a lead independent director.</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Currently, our Board leadership structure separates the positions of Chief Executive Officer and Chair of the Board. Mr. Ramaswami has served as our Chief Executive Officer since December 2020, and Ms. Gambale, an independent director, has served as our Chair of the Board since June 2021. Separating the positions of Chief Executive Officer and Chair of the Board allows our Chief Executive Officer to focus on our day-to-day business, while allowing our Chair of the Board to lead our Board in its oversight of management. Our Board believes that its independence and oversight of management are maintained effectively through this leadership structure, the composition of our Board, and sound corporate governance policies and practices.</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2641"/>
        <w:gridCol w:w="331"/>
      </w:tblGrid>
      <w:tr>
        <w:trPr/>
        <w:tc>
          <w:tcPr>
            <w:tcW w:w="26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109"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98" descr=""/>
                          <pic:cNvPicPr>
                            <a:picLocks noChangeAspect="1" noChangeArrowheads="1"/>
                          </pic:cNvPicPr>
                        </pic:nvPicPr>
                        <pic:blipFill>
                          <a:blip r:embed="rId102"/>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3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13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rFonts w:ascii="Montserrat;sans-serif" w:hAnsi="Montserrat;sans-serif"/>
          <w:color w:val="000000"/>
          <w:sz w:val="13"/>
        </w:rPr>
      </w:pPr>
      <w:r>
        <w:rPr>
          <w:rFonts w:ascii="Montserrat;sans-serif" w:hAnsi="Montserrat;sans-serif"/>
          <w:color w:val="000000"/>
          <w:sz w:val="13"/>
        </w:rPr>
        <w:t>Corporate Governance</w:t>
      </w:r>
    </w:p>
    <w:p>
      <w:pPr>
        <w:pStyle w:val="TextBody"/>
        <w:bidi w:val="0"/>
        <w:spacing w:before="60" w:after="283"/>
        <w:jc w:val="left"/>
        <w:rPr>
          <w:rFonts w:ascii="Montserrat;sans-serif" w:hAnsi="Montserrat;sans-serif"/>
          <w:color w:val="000000"/>
          <w:sz w:val="12"/>
        </w:rPr>
      </w:pPr>
      <w:r>
        <w:rPr>
          <w:rFonts w:ascii="Montserrat;sans-serif" w:hAnsi="Montserrat;sans-serif"/>
          <w:color w:val="000000"/>
          <w:sz w:val="12"/>
        </w:rPr>
        <w:t>Board of Directors and Its Committees</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Montserrat;sans-serif" w:hAnsi="Montserrat;sans-serif"/>
          <w:sz w:val="22"/>
        </w:rPr>
      </w:pPr>
      <w:r>
        <w:rPr>
          <w:rFonts w:ascii="Montserrat;sans-serif" w:hAnsi="Montserrat;sans-serif"/>
          <w:b/>
          <w:color w:val="000000"/>
          <w:sz w:val="24"/>
        </w:rPr>
        <w:t>Board Skills and Experience</w:t>
      </w:r>
      <w:r>
        <w:rPr>
          <w:rFonts w:ascii="Montserrat;sans-serif" w:hAnsi="Montserrat;sans-serif"/>
          <w:color w:val="000000"/>
          <w:sz w:val="22"/>
        </w:rPr>
        <w:t xml:space="preserve"> </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Our Board is composed of directors with a broad and complementary mix of skills and experiences that align with our company’s strategic and governance priorities. Collectively, our directors bring deep expertise in executive leadership and CEO experience, global operational experience, technology and software and information technology industry knowledge, artificial intelligence, cybersecurity, customer segment and domain expertise, and sales and marketing, as well as audit committee financial expertise and extensive public company board service. Reflecting the importance of addressing enterprise AI as part of our long-term strategy, our Board also collectively brings relevant experience across artificial intelligence, including AI-enabled software, infrastructure, and the data and cloud architectures that support enterprise AI workloads, as described in the director biographies under “Proposal 1—Election of Directors.” Several directors also contribute significant experience in corporate finance, business strategy, and capital allocation, and our Board reflects diversity of professional and personal backgrounds and education. The Nominating and Corporate Governance Committee considers the Company’s strategy, business, and risk profile when evaluating Board composition and director candidates. We believe this balanced composition enables effective oversight of our growth strategy, strategic priorities, risk management, and long-term value creation for stockholders.</w:t>
      </w:r>
    </w:p>
    <w:p>
      <w:pPr>
        <w:pStyle w:val="TextBody"/>
        <w:bidi w:val="0"/>
        <w:spacing w:before="360" w:after="283"/>
        <w:jc w:val="both"/>
        <w:rPr>
          <w:rFonts w:ascii="Montserrat;sans-serif" w:hAnsi="Montserrat;sans-serif"/>
          <w:b/>
          <w:color w:val="000000"/>
          <w:sz w:val="24"/>
        </w:rPr>
      </w:pPr>
      <w:r>
        <w:rPr>
          <w:rFonts w:ascii="Montserrat;sans-serif" w:hAnsi="Montserrat;sans-serif"/>
          <w:b/>
          <w:color w:val="000000"/>
          <w:sz w:val="24"/>
        </w:rPr>
        <w:t>Board Evaluation and Self-Assessment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Our Board conducts an annual evaluation process designed to support Board effectiveness and ongoing Board refreshment. Each year, our Board and each of its committees conduct a formal self-assessment. To facilitate the evaluation process and encourage candid feedback, we engage external legal counsel to facilitate the annual evaluation on behalf of the Board, including through written questionnaires and confidential, one-on-one interviews of each director. The evaluation covers, among other topics, Board and committee composition and the mix of skills and experience represented, Board and committee structure, leadership and processes, the quality and timeliness of information provided to directors, and the effectiveness of the Board’s oversight of strategy, risk and management succession. The evaluation results are considered in connection with Board refreshment, Board and committee composition, and opportunities to improve Board and committee effectiveness and processes, helping to ensure that the composition and functioning of our Board continue to align with our evolving strategic priorities.</w:t>
      </w:r>
    </w:p>
    <w:p>
      <w:pPr>
        <w:pStyle w:val="TextBody"/>
        <w:bidi w:val="0"/>
        <w:spacing w:before="360" w:after="283"/>
        <w:jc w:val="left"/>
        <w:rPr>
          <w:rFonts w:ascii="Montserrat;sans-serif" w:hAnsi="Montserrat;sans-serif"/>
          <w:b/>
          <w:color w:val="000000"/>
          <w:sz w:val="24"/>
        </w:rPr>
      </w:pPr>
      <w:r>
        <w:rPr>
          <w:rFonts w:ascii="Montserrat;sans-serif" w:hAnsi="Montserrat;sans-serif"/>
          <w:b/>
          <w:color w:val="000000"/>
          <w:sz w:val="24"/>
        </w:rPr>
        <w:t>Board Composition and Refreshment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Our Nominating and Corporate Governance Committee is focused on maintaining a Board with the right balance of skills, experience, tenure, and fresh perspective to oversee our strategy. We believe our Board reflects a thoughtful balance of longer-tenured directors, who provide deep institutional knowledge, and directors who have joined more recently and bring new perspectives. Board refreshment is informed by our annual Board evaluation process and ongoing assessment of the skills and experience needed to support our long-term strategy. For example, in May 2025, we welcomed Eric K. Brandt, whose extensive executive leadership experience, combined with deep audit committee financial expertise, public company board service, and other relevant qualifications, enhances our Board’s capabilities in finance, capital allocation, and governance. In September 2025, we added Greg Lavender, a recognized leader in technology, whose experience includes global operational leadership, cybersecurity expertise, customer segment and domain knowledge, and other qualifications gained through senior roles at leading technology companies. Collectively, these Board refreshment actions have contributed to a Board that reflects a mix of executive leadership, technology, artificial intelligence and cybersecurity expertise, software and information technology industry experience, audit and financial expertise, and public company governance experience, while reinforcing our commitment to diversity of professional and personal backgrounds. Board refreshment remains an ongoing process. During fiscal year 2025, two directors concluded their service on our Board after providing many years of valuable service. In addition, Craig Conway, who has served on our Board since October 2017, has informed the Board that he will not stand for re-election at the Annual Meeting. These developments reflect the Board’s continued focus on thoughtful succession planning.</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In connection with Bain Capital’s 2020 investment in the Company, Bain previously had the right to nominate directors to our Board based on specified ownership thresholds. Max de Groen, one of Bain’s original nominees, has served on our Board since September 2020. Following Bain’s conversion of our previously outstanding 2.50% convertible senior notes due 2026 in June 2024 and subsequent dispositions of shares of our Class A common stock, Bain no longer has the right to nominate directors to our Board.</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301"/>
        <w:gridCol w:w="2671"/>
      </w:tblGrid>
      <w:tr>
        <w:trPr/>
        <w:tc>
          <w:tcPr>
            <w:tcW w:w="30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14</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110"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99" descr=""/>
                          <pic:cNvPicPr>
                            <a:picLocks noChangeAspect="1" noChangeArrowheads="1"/>
                          </pic:cNvPicPr>
                        </pic:nvPicPr>
                        <pic:blipFill>
                          <a:blip r:embed="rId103"/>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rFonts w:ascii="Montserrat;sans-serif" w:hAnsi="Montserrat;sans-serif"/>
          <w:color w:val="000000"/>
          <w:sz w:val="13"/>
        </w:rPr>
      </w:pPr>
      <w:r>
        <w:rPr>
          <w:rFonts w:ascii="Montserrat;sans-serif" w:hAnsi="Montserrat;sans-serif"/>
          <w:color w:val="000000"/>
          <w:sz w:val="13"/>
        </w:rPr>
        <w:t>Corporate Governance</w:t>
      </w:r>
    </w:p>
    <w:p>
      <w:pPr>
        <w:pStyle w:val="TextBody"/>
        <w:bidi w:val="0"/>
        <w:spacing w:before="60" w:after="283"/>
        <w:jc w:val="right"/>
        <w:rPr>
          <w:rFonts w:ascii="Montserrat;sans-serif" w:hAnsi="Montserrat;sans-serif"/>
          <w:color w:val="000000"/>
          <w:sz w:val="12"/>
        </w:rPr>
      </w:pPr>
      <w:r>
        <w:rPr>
          <w:rFonts w:ascii="Montserrat;sans-serif" w:hAnsi="Montserrat;sans-serif"/>
          <w:color w:val="000000"/>
          <w:sz w:val="12"/>
        </w:rPr>
        <w:t>Board of Directors and Its Committees</w:t>
      </w:r>
    </w:p>
    <w:p>
      <w:pPr>
        <w:pStyle w:val="TextBody"/>
        <w:bidi w:val="0"/>
        <w:jc w:val="right"/>
        <w:rPr/>
      </w:pPr>
      <w:r>
        <w:rPr/>
        <w:t> </w:t>
      </w:r>
    </w:p>
    <w:p>
      <w:pPr>
        <w:pStyle w:val="TextBody"/>
        <w:bidi w:val="0"/>
        <w:jc w:val="right"/>
        <w:rPr/>
      </w:pPr>
      <w:r>
        <w:rPr/>
        <w:t> </w:t>
      </w:r>
    </w:p>
    <w:p>
      <w:pPr>
        <w:pStyle w:val="TextBody"/>
        <w:bidi w:val="0"/>
        <w:spacing w:before="360" w:after="283"/>
        <w:jc w:val="both"/>
        <w:rPr>
          <w:rFonts w:ascii="Montserrat;sans-serif" w:hAnsi="Montserrat;sans-serif"/>
          <w:b/>
          <w:color w:val="000000"/>
          <w:sz w:val="24"/>
        </w:rPr>
      </w:pPr>
      <w:r>
        <w:rPr>
          <w:rFonts w:ascii="Montserrat;sans-serif" w:hAnsi="Montserrat;sans-serif"/>
          <w:b/>
          <w:color w:val="000000"/>
          <w:sz w:val="24"/>
        </w:rPr>
        <w:t>Director Onboarding and Education</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We provide new directors with onboarding and orientation designed to familiarize them with our industry, market, business, strategy and key risks. Directors receive periodic briefings and educational sessions from management and outside experts on topics relevant to our business, industry and Board oversight responsibilities. We also provide directors with opportunities for ongoing education on topics relevant to their oversight responsibilities.</w:t>
      </w:r>
    </w:p>
    <w:p>
      <w:pPr>
        <w:pStyle w:val="TextBody"/>
        <w:bidi w:val="0"/>
        <w:spacing w:before="360" w:after="283"/>
        <w:jc w:val="left"/>
        <w:rPr>
          <w:rFonts w:ascii="Montserrat;sans-serif" w:hAnsi="Montserrat;sans-serif"/>
          <w:b/>
          <w:color w:val="000000"/>
          <w:sz w:val="24"/>
        </w:rPr>
      </w:pPr>
      <w:r>
        <w:rPr>
          <w:rFonts w:ascii="Montserrat;sans-serif" w:hAnsi="Montserrat;sans-serif"/>
          <w:b/>
          <w:color w:val="000000"/>
          <w:sz w:val="24"/>
        </w:rPr>
        <w:t>Executive Sessions of Non-Employee Directors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To encourage and enhance communication among non-employee directors, and as required under applicable Nasdaq listing rules, our corporate governance guidelines provide that non-employee directors will meet in executive sessions without management directors or company management on a periodic basis, but no less than twice a year.</w:t>
      </w:r>
    </w:p>
    <w:p>
      <w:pPr>
        <w:pStyle w:val="TextBody"/>
        <w:bidi w:val="0"/>
        <w:spacing w:before="360" w:after="283"/>
        <w:jc w:val="left"/>
        <w:rPr>
          <w:rFonts w:ascii="Montserrat;sans-serif" w:hAnsi="Montserrat;sans-serif"/>
          <w:b/>
          <w:color w:val="000000"/>
          <w:sz w:val="24"/>
        </w:rPr>
      </w:pPr>
      <w:r>
        <w:rPr>
          <w:rFonts w:ascii="Montserrat;sans-serif" w:hAnsi="Montserrat;sans-serif"/>
          <w:b/>
          <w:color w:val="000000"/>
          <w:sz w:val="24"/>
        </w:rPr>
        <w:t>Communications with our Board</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Stockholders or interested parties who wish to communicate with our Board or with an individual director may do so by mail to our Board or the individual director, care of our Chief Legal Officer, at Nutanix, Inc., 1740 Technology Drive, Suite 150, San Jose, California 95110. The communication should indicate that it contains a stockholder or interested party communication. In accordance with our corporate governance guidelines, all such communication will be reviewed by the Chief Legal Officer, in consultation with appropriate directors as necessary, and, if appropriate, will be forwarded to the director or directors to whom the communications are addressed or, if none are specified, to the Chair of the Board.</w:t>
      </w:r>
    </w:p>
    <w:p>
      <w:pPr>
        <w:pStyle w:val="TextBody"/>
        <w:bidi w:val="0"/>
        <w:spacing w:before="120" w:after="283"/>
        <w:jc w:val="both"/>
        <w:rPr/>
      </w:pPr>
      <w:r>
        <w:rPr/>
        <w:t> </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2641"/>
        <w:gridCol w:w="331"/>
      </w:tblGrid>
      <w:tr>
        <w:trPr/>
        <w:tc>
          <w:tcPr>
            <w:tcW w:w="26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111"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0" descr=""/>
                          <pic:cNvPicPr>
                            <a:picLocks noChangeAspect="1" noChangeArrowheads="1"/>
                          </pic:cNvPicPr>
                        </pic:nvPicPr>
                        <pic:blipFill>
                          <a:blip r:embed="rId104"/>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3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15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rFonts w:ascii="Montserrat;sans-serif" w:hAnsi="Montserrat;sans-serif"/>
          <w:color w:val="000000"/>
          <w:sz w:val="13"/>
        </w:rPr>
      </w:pPr>
      <w:r>
        <w:rPr>
          <w:rFonts w:ascii="Montserrat;sans-serif" w:hAnsi="Montserrat;sans-serif"/>
          <w:color w:val="000000"/>
          <w:sz w:val="13"/>
        </w:rPr>
        <w:t>Corporate Governance</w:t>
      </w:r>
    </w:p>
    <w:p>
      <w:pPr>
        <w:pStyle w:val="TextBody"/>
        <w:bidi w:val="0"/>
        <w:spacing w:before="60" w:after="283"/>
        <w:jc w:val="left"/>
        <w:rPr>
          <w:rFonts w:ascii="Montserrat;sans-serif" w:hAnsi="Montserrat;sans-serif"/>
          <w:color w:val="000000"/>
          <w:sz w:val="12"/>
        </w:rPr>
      </w:pPr>
      <w:r>
        <w:rPr>
          <w:rFonts w:ascii="Montserrat;sans-serif" w:hAnsi="Montserrat;sans-serif"/>
          <w:color w:val="000000"/>
          <w:sz w:val="12"/>
        </w:rPr>
        <w:t>Board of Directors and Its Committees</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90"/>
        <w:gridCol w:w="146"/>
        <w:gridCol w:w="8869"/>
      </w:tblGrid>
      <w:tr>
        <w:trPr/>
        <w:tc>
          <w:tcPr>
            <w:tcW w:w="11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9" w:type="dxa"/>
            <w:tcBorders/>
            <w:vAlign w:val="center"/>
          </w:tcPr>
          <w:p>
            <w:pPr>
              <w:pStyle w:val="TableContents"/>
              <w:bidi w:val="0"/>
              <w:spacing w:before="0" w:after="283"/>
              <w:jc w:val="left"/>
              <w:rPr>
                <w:sz w:val="4"/>
                <w:szCs w:val="4"/>
              </w:rPr>
            </w:pPr>
            <w:r>
              <w:rPr>
                <w:sz w:val="4"/>
                <w:szCs w:val="4"/>
              </w:rPr>
            </w:r>
          </w:p>
        </w:tc>
      </w:tr>
      <w:tr>
        <w:trPr/>
        <w:tc>
          <w:tcPr>
            <w:tcW w:w="1190" w:type="dxa"/>
            <w:vMerge w:val="restart"/>
            <w:tcBorders>
              <w:bottom w:val="single" w:sz="4" w:space="0" w:color="FFFFFF"/>
            </w:tcBorders>
            <w:tcMar>
              <w:top w:w="0" w:type="dxa"/>
              <w:left w:w="0" w:type="dxa"/>
              <w:right w:w="0" w:type="dxa"/>
            </w:tcMar>
            <w:vAlign w:val="center"/>
          </w:tcPr>
          <w:p>
            <w:pPr>
              <w:pStyle w:val="TableContents"/>
              <w:bidi w:val="0"/>
              <w:jc w:val="left"/>
              <w:rPr/>
            </w:pPr>
            <w:r>
              <w:rPr/>
              <w:drawing>
                <wp:inline distT="0" distB="0" distL="0" distR="0">
                  <wp:extent cx="638175" cy="657225"/>
                  <wp:effectExtent l="0" t="0" r="0" b="0"/>
                  <wp:docPr id="112"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1" descr=""/>
                          <pic:cNvPicPr>
                            <a:picLocks noChangeAspect="1" noChangeArrowheads="1"/>
                          </pic:cNvPicPr>
                        </pic:nvPicPr>
                        <pic:blipFill>
                          <a:blip r:embed="rId105"/>
                          <a:stretch>
                            <a:fillRect/>
                          </a:stretch>
                        </pic:blipFill>
                        <pic:spPr bwMode="auto">
                          <a:xfrm>
                            <a:off x="0" y="0"/>
                            <a:ext cx="638175" cy="657225"/>
                          </a:xfrm>
                          <a:prstGeom prst="rect">
                            <a:avLst/>
                          </a:prstGeom>
                        </pic:spPr>
                      </pic:pic>
                    </a:graphicData>
                  </a:graphic>
                </wp:inline>
              </w:drawing>
            </w:r>
          </w:p>
          <w:p>
            <w:pPr>
              <w:pStyle w:val="TableContents"/>
              <w:bidi w:val="0"/>
              <w:jc w:val="left"/>
              <w:rPr/>
            </w:pPr>
            <w:r>
              <w:rPr/>
              <w:t> </w:t>
            </w:r>
          </w:p>
          <w:p>
            <w:pPr>
              <w:pStyle w:val="TableContents"/>
              <w:bidi w:val="0"/>
              <w:jc w:val="left"/>
              <w:rPr>
                <w:rFonts w:ascii="Montserrat;sans-serif" w:hAnsi="Montserrat;sans-serif"/>
                <w:b/>
                <w:color w:val="7855FA"/>
                <w:sz w:val="18"/>
              </w:rPr>
            </w:pPr>
            <w:r>
              <w:rPr>
                <w:rFonts w:ascii="Montserrat;sans-serif" w:hAnsi="Montserrat;sans-serif"/>
                <w:b/>
                <w:color w:val="7855FA"/>
                <w:sz w:val="18"/>
              </w:rPr>
              <w:t>Chair:</w:t>
            </w:r>
          </w:p>
          <w:p>
            <w:pPr>
              <w:pStyle w:val="TableContents"/>
              <w:bidi w:val="0"/>
              <w:spacing w:before="60" w:after="283"/>
              <w:jc w:val="left"/>
              <w:rPr>
                <w:rFonts w:ascii="Montserrat;sans-serif" w:hAnsi="Montserrat;sans-serif"/>
                <w:color w:val="000000"/>
                <w:sz w:val="18"/>
              </w:rPr>
            </w:pPr>
            <w:r>
              <w:rPr>
                <w:rFonts w:ascii="Montserrat;sans-serif" w:hAnsi="Montserrat;sans-serif"/>
                <w:color w:val="000000"/>
                <w:sz w:val="18"/>
              </w:rPr>
              <w:t>Eric K. Brandt</w:t>
            </w:r>
          </w:p>
          <w:p>
            <w:pPr>
              <w:pStyle w:val="TableContents"/>
              <w:bidi w:val="0"/>
              <w:spacing w:before="60" w:after="283"/>
              <w:jc w:val="left"/>
              <w:rPr>
                <w:rFonts w:ascii="Montserrat;sans-serif" w:hAnsi="Montserrat;sans-serif"/>
                <w:b/>
                <w:color w:val="7855FA"/>
                <w:sz w:val="18"/>
              </w:rPr>
            </w:pPr>
            <w:r>
              <w:rPr>
                <w:rFonts w:ascii="Montserrat;sans-serif" w:hAnsi="Montserrat;sans-serif"/>
                <w:b/>
                <w:color w:val="7855FA"/>
                <w:sz w:val="18"/>
              </w:rPr>
              <w:t>Other Members:</w:t>
            </w:r>
          </w:p>
          <w:p>
            <w:pPr>
              <w:pStyle w:val="TableContents"/>
              <w:bidi w:val="0"/>
              <w:spacing w:before="60" w:after="283"/>
              <w:jc w:val="left"/>
              <w:rPr>
                <w:color w:val="7855FA"/>
              </w:rPr>
            </w:pPr>
            <w:r>
              <w:rPr>
                <w:color w:val="7855FA"/>
              </w:rPr>
              <w:t>•</w:t>
            </w:r>
          </w:p>
          <w:p>
            <w:pPr>
              <w:pStyle w:val="TableContents"/>
              <w:bidi w:val="0"/>
              <w:spacing w:before="60" w:after="283"/>
              <w:jc w:val="left"/>
              <w:rPr>
                <w:rFonts w:ascii="Montserrat;sans-serif" w:hAnsi="Montserrat;sans-serif"/>
                <w:color w:val="000000"/>
                <w:sz w:val="18"/>
              </w:rPr>
            </w:pPr>
            <w:r>
              <w:rPr>
                <w:rFonts w:ascii="Montserrat;sans-serif" w:hAnsi="Montserrat;sans-serif"/>
                <w:color w:val="000000"/>
                <w:sz w:val="18"/>
              </w:rPr>
              <w:t>Steven J. Gomo</w:t>
            </w:r>
          </w:p>
          <w:p>
            <w:pPr>
              <w:pStyle w:val="TableContents"/>
              <w:bidi w:val="0"/>
              <w:spacing w:before="60" w:after="283"/>
              <w:jc w:val="left"/>
              <w:rPr>
                <w:color w:val="7855FA"/>
              </w:rPr>
            </w:pPr>
            <w:r>
              <w:rPr>
                <w:color w:val="7855FA"/>
              </w:rPr>
              <w:t>•</w:t>
            </w:r>
          </w:p>
          <w:p>
            <w:pPr>
              <w:pStyle w:val="TableContents"/>
              <w:bidi w:val="0"/>
              <w:spacing w:before="60" w:after="283"/>
              <w:jc w:val="left"/>
              <w:rPr>
                <w:rFonts w:ascii="Montserrat;sans-serif" w:hAnsi="Montserrat;sans-serif"/>
                <w:color w:val="000000"/>
                <w:sz w:val="18"/>
              </w:rPr>
            </w:pPr>
            <w:r>
              <w:rPr>
                <w:rFonts w:ascii="Montserrat;sans-serif" w:hAnsi="Montserrat;sans-serif"/>
                <w:color w:val="000000"/>
                <w:sz w:val="18"/>
              </w:rPr>
              <w:t>Max de Groen</w:t>
            </w:r>
          </w:p>
          <w:p>
            <w:pPr>
              <w:pStyle w:val="TableContents"/>
              <w:bidi w:val="0"/>
              <w:spacing w:before="0" w:after="0"/>
              <w:jc w:val="left"/>
              <w:rPr>
                <w:color w:val="7855FA"/>
              </w:rPr>
            </w:pPr>
            <w:r>
              <w:rPr>
                <w:color w:val="7855FA"/>
              </w:rPr>
              <w:t>•</w:t>
            </w:r>
          </w:p>
          <w:p>
            <w:pPr>
              <w:pStyle w:val="TableContents"/>
              <w:bidi w:val="0"/>
              <w:spacing w:before="0" w:after="0"/>
              <w:jc w:val="left"/>
              <w:rPr>
                <w:rFonts w:ascii="Montserrat;sans-serif" w:hAnsi="Montserrat;sans-serif"/>
                <w:color w:val="000000"/>
                <w:sz w:val="18"/>
              </w:rPr>
            </w:pPr>
            <w:r>
              <w:rPr>
                <w:rFonts w:ascii="Montserrat;sans-serif" w:hAnsi="Montserrat;sans-serif"/>
                <w:color w:val="000000"/>
                <w:sz w:val="18"/>
              </w:rPr>
              <w:t xml:space="preserve">Gayle Sheppard </w:t>
            </w:r>
          </w:p>
        </w:tc>
        <w:tc>
          <w:tcPr>
            <w:tcW w:w="146" w:type="dxa"/>
            <w:tcBorders>
              <w:bottom w:val="single" w:sz="4" w:space="0" w:color="000000"/>
            </w:tcBorders>
            <w:tcMar>
              <w:top w:w="0" w:type="dxa"/>
              <w:left w:w="0" w:type="dxa"/>
              <w:right w:w="0" w:type="dxa"/>
            </w:tcMar>
            <w:vAlign w:val="center"/>
          </w:tcPr>
          <w:p>
            <w:pPr>
              <w:pStyle w:val="TableContents"/>
              <w:bidi w:val="0"/>
              <w:spacing w:before="120" w:after="283"/>
              <w:jc w:val="left"/>
              <w:rPr/>
            </w:pPr>
            <w:r>
              <w:rPr/>
              <w:t> </w:t>
            </w:r>
          </w:p>
        </w:tc>
        <w:tc>
          <w:tcPr>
            <w:tcW w:w="8869" w:type="dxa"/>
            <w:tcBorders>
              <w:bottom w:val="single" w:sz="4" w:space="0" w:color="7855FA"/>
            </w:tcBorders>
            <w:tcMar>
              <w:top w:w="0" w:type="dxa"/>
              <w:left w:w="0" w:type="dxa"/>
              <w:right w:w="0" w:type="dxa"/>
            </w:tcMar>
            <w:vAlign w:val="center"/>
          </w:tcPr>
          <w:p>
            <w:pPr>
              <w:pStyle w:val="TableContents"/>
              <w:bidi w:val="0"/>
              <w:spacing w:before="0" w:after="283"/>
              <w:jc w:val="left"/>
              <w:rPr>
                <w:rFonts w:ascii="Montserrat;sans-serif" w:hAnsi="Montserrat;sans-serif"/>
                <w:b/>
                <w:color w:val="7855FA"/>
                <w:sz w:val="22"/>
              </w:rPr>
            </w:pPr>
            <w:r>
              <w:rPr>
                <w:rFonts w:ascii="Montserrat;sans-serif" w:hAnsi="Montserrat;sans-serif"/>
                <w:b/>
                <w:color w:val="7855FA"/>
                <w:sz w:val="22"/>
              </w:rPr>
              <w:t>Audit Committee</w:t>
            </w:r>
          </w:p>
        </w:tc>
      </w:tr>
      <w:tr>
        <w:trPr/>
        <w:tc>
          <w:tcPr>
            <w:tcW w:w="1190" w:type="dxa"/>
            <w:vMerge w:val="continue"/>
            <w:tcBorders>
              <w:bottom w:val="single" w:sz="4" w:space="0" w:color="FFFFFF"/>
            </w:tcBorders>
            <w:tcMar>
              <w:top w:w="0" w:type="dxa"/>
              <w:left w:w="0" w:type="dxa"/>
              <w:right w:w="0" w:type="dxa"/>
            </w:tcMar>
            <w:vAlign w:val="center"/>
          </w:tcPr>
          <w:p>
            <w:pPr>
              <w:pStyle w:val="Normal"/>
              <w:bidi w:val="0"/>
              <w:jc w:val="left"/>
              <w:rPr/>
            </w:pPr>
            <w:r>
              <w:rPr/>
            </w:r>
          </w:p>
        </w:tc>
        <w:tc>
          <w:tcPr>
            <w:tcW w:w="146" w:type="dxa"/>
            <w:tcBorders>
              <w:bottom w:val="single" w:sz="4" w:space="0" w:color="FFFFFF"/>
            </w:tcBorders>
            <w:tcMar>
              <w:top w:w="0" w:type="dxa"/>
              <w:left w:w="0" w:type="dxa"/>
              <w:right w:w="0" w:type="dxa"/>
            </w:tcMar>
            <w:vAlign w:val="center"/>
          </w:tcPr>
          <w:p>
            <w:pPr>
              <w:pStyle w:val="TableContents"/>
              <w:bidi w:val="0"/>
              <w:spacing w:before="120" w:after="283"/>
              <w:jc w:val="left"/>
              <w:rPr/>
            </w:pPr>
            <w:r>
              <w:rPr/>
              <w:t> </w:t>
            </w:r>
          </w:p>
        </w:tc>
        <w:tc>
          <w:tcPr>
            <w:tcW w:w="8869" w:type="dxa"/>
            <w:tcBorders>
              <w:bottom w:val="single" w:sz="4" w:space="0" w:color="FFFFFF"/>
            </w:tcBorders>
            <w:tcMar>
              <w:top w:w="0" w:type="dxa"/>
              <w:left w:w="0" w:type="dxa"/>
              <w:right w:w="0" w:type="dxa"/>
            </w:tcMar>
            <w:vAlign w:val="center"/>
          </w:tcPr>
          <w:p>
            <w:pPr>
              <w:pStyle w:val="TableContents"/>
              <w:bidi w:val="0"/>
              <w:spacing w:before="60" w:after="283"/>
              <w:jc w:val="both"/>
              <w:rPr>
                <w:rFonts w:ascii="Montserrat;sans-serif" w:hAnsi="Montserrat;sans-serif"/>
                <w:color w:val="000000"/>
                <w:sz w:val="18"/>
              </w:rPr>
            </w:pPr>
            <w:r>
              <w:rPr>
                <w:rFonts w:ascii="Montserrat;sans-serif" w:hAnsi="Montserrat;sans-serif"/>
                <w:color w:val="000000"/>
                <w:sz w:val="18"/>
              </w:rPr>
              <w:t>The Audit Committee is composed of Mr. Brandt, Mr. de Groen, Mr. Gomo, and Ms. Sheppard, each of whom is a non-employee director. Mr. Brandt has served as the current chair of the Audit Committee since September 2026. Our Board has determined that each member of the Audit Committee satisfies the requirements for independence and financial literacy under applicable SEC rules and Nasdaq listing rules. Our Board has also determined that each member of the Audit Committee satisfies the financial sophistication requirements of Nasdaq listing rules and that Messrs. Brandt, de Groen, and Gomo each qualifies as an “audit committee financial expert,” as defined in SEC rules. The Audit Committee is responsible for, among other things:</w:t>
            </w:r>
          </w:p>
          <w:p>
            <w:pPr>
              <w:pStyle w:val="TableContents"/>
              <w:bidi w:val="0"/>
              <w:spacing w:before="60" w:after="283"/>
              <w:jc w:val="both"/>
              <w:rPr>
                <w:color w:val="7855FA"/>
              </w:rPr>
            </w:pPr>
            <w:r>
              <w:rPr>
                <w:color w:val="7855FA"/>
              </w:rPr>
              <w:t>•</w:t>
            </w:r>
          </w:p>
          <w:p>
            <w:pPr>
              <w:pStyle w:val="TableContents"/>
              <w:bidi w:val="0"/>
              <w:spacing w:before="60" w:after="283"/>
              <w:jc w:val="both"/>
              <w:rPr>
                <w:rFonts w:ascii="Montserrat;sans-serif" w:hAnsi="Montserrat;sans-serif"/>
                <w:color w:val="000000"/>
                <w:sz w:val="18"/>
              </w:rPr>
            </w:pPr>
            <w:r>
              <w:rPr>
                <w:rFonts w:ascii="Montserrat;sans-serif" w:hAnsi="Montserrat;sans-serif"/>
                <w:color w:val="000000"/>
                <w:sz w:val="18"/>
              </w:rPr>
              <w:t>selecting and hiring our independent registered public accounting firm;</w:t>
            </w:r>
          </w:p>
          <w:p>
            <w:pPr>
              <w:pStyle w:val="TableContents"/>
              <w:bidi w:val="0"/>
              <w:spacing w:before="0" w:after="0"/>
              <w:jc w:val="both"/>
              <w:rPr>
                <w:color w:val="7855FA"/>
              </w:rPr>
            </w:pPr>
            <w:r>
              <w:rPr>
                <w:color w:val="7855FA"/>
              </w:rPr>
              <w:t>•</w:t>
            </w:r>
          </w:p>
          <w:p>
            <w:pPr>
              <w:pStyle w:val="TableContents"/>
              <w:bidi w:val="0"/>
              <w:spacing w:before="0" w:after="0"/>
              <w:jc w:val="both"/>
              <w:rPr>
                <w:rFonts w:ascii="Montserrat;sans-serif" w:hAnsi="Montserrat;sans-serif"/>
                <w:color w:val="000000"/>
                <w:sz w:val="18"/>
              </w:rPr>
            </w:pPr>
            <w:r>
              <w:rPr>
                <w:rFonts w:ascii="Montserrat;sans-serif" w:hAnsi="Montserrat;sans-serif"/>
                <w:color w:val="000000"/>
                <w:sz w:val="18"/>
              </w:rPr>
              <w:t>evaluating the performance and independence of our registered public accounting firm;</w:t>
            </w:r>
          </w:p>
          <w:p>
            <w:pPr>
              <w:pStyle w:val="TableContents"/>
              <w:bidi w:val="0"/>
              <w:spacing w:before="0" w:after="0"/>
              <w:jc w:val="both"/>
              <w:rPr>
                <w:color w:val="7855FA"/>
              </w:rPr>
            </w:pPr>
            <w:r>
              <w:rPr>
                <w:color w:val="7855FA"/>
              </w:rPr>
              <w:t>•</w:t>
            </w:r>
          </w:p>
          <w:p>
            <w:pPr>
              <w:pStyle w:val="TableContents"/>
              <w:bidi w:val="0"/>
              <w:spacing w:before="0" w:after="0"/>
              <w:jc w:val="both"/>
              <w:rPr>
                <w:rFonts w:ascii="Montserrat;sans-serif" w:hAnsi="Montserrat;sans-serif"/>
                <w:color w:val="000000"/>
                <w:sz w:val="18"/>
              </w:rPr>
            </w:pPr>
            <w:r>
              <w:rPr>
                <w:rFonts w:ascii="Montserrat;sans-serif" w:hAnsi="Montserrat;sans-serif"/>
                <w:color w:val="000000"/>
                <w:sz w:val="18"/>
              </w:rPr>
              <w:t>pre-approving the audit and any non-audit services to be performed by our independent registered public accounting firm;</w:t>
            </w:r>
          </w:p>
          <w:p>
            <w:pPr>
              <w:pStyle w:val="TableContents"/>
              <w:bidi w:val="0"/>
              <w:spacing w:before="0" w:after="0"/>
              <w:jc w:val="both"/>
              <w:rPr>
                <w:color w:val="7855FA"/>
              </w:rPr>
            </w:pPr>
            <w:r>
              <w:rPr>
                <w:color w:val="7855FA"/>
              </w:rPr>
              <w:t>•</w:t>
            </w:r>
          </w:p>
          <w:p>
            <w:pPr>
              <w:pStyle w:val="TableContents"/>
              <w:bidi w:val="0"/>
              <w:spacing w:before="0" w:after="0"/>
              <w:jc w:val="both"/>
              <w:rPr>
                <w:rFonts w:ascii="Montserrat;sans-serif" w:hAnsi="Montserrat;sans-serif"/>
                <w:color w:val="000000"/>
                <w:sz w:val="18"/>
              </w:rPr>
            </w:pPr>
            <w:r>
              <w:rPr>
                <w:rFonts w:ascii="Montserrat;sans-serif" w:hAnsi="Montserrat;sans-serif"/>
                <w:color w:val="000000"/>
                <w:sz w:val="18"/>
              </w:rPr>
              <w:t>reviewing our internal controls and the integrity of our audited financial statements;</w:t>
            </w:r>
          </w:p>
          <w:p>
            <w:pPr>
              <w:pStyle w:val="TableContents"/>
              <w:bidi w:val="0"/>
              <w:spacing w:before="0" w:after="0"/>
              <w:jc w:val="both"/>
              <w:rPr>
                <w:color w:val="7855FA"/>
              </w:rPr>
            </w:pPr>
            <w:r>
              <w:rPr>
                <w:color w:val="7855FA"/>
              </w:rPr>
              <w:t>•</w:t>
            </w:r>
          </w:p>
          <w:p>
            <w:pPr>
              <w:pStyle w:val="TableContents"/>
              <w:bidi w:val="0"/>
              <w:spacing w:before="0" w:after="0"/>
              <w:jc w:val="both"/>
              <w:rPr>
                <w:rFonts w:ascii="Montserrat;sans-serif" w:hAnsi="Montserrat;sans-serif"/>
                <w:color w:val="000000"/>
                <w:sz w:val="18"/>
              </w:rPr>
            </w:pPr>
            <w:r>
              <w:rPr>
                <w:rFonts w:ascii="Montserrat;sans-serif" w:hAnsi="Montserrat;sans-serif"/>
                <w:color w:val="000000"/>
                <w:sz w:val="18"/>
              </w:rPr>
              <w:t>reviewing the adequacy and effectiveness of our disclosure controls and procedures;</w:t>
            </w:r>
          </w:p>
          <w:p>
            <w:pPr>
              <w:pStyle w:val="TableContents"/>
              <w:bidi w:val="0"/>
              <w:spacing w:before="0" w:after="0"/>
              <w:jc w:val="both"/>
              <w:rPr>
                <w:color w:val="7855FA"/>
              </w:rPr>
            </w:pPr>
            <w:r>
              <w:rPr>
                <w:color w:val="7855FA"/>
              </w:rPr>
              <w:t>•</w:t>
            </w:r>
          </w:p>
          <w:p>
            <w:pPr>
              <w:pStyle w:val="TableContents"/>
              <w:bidi w:val="0"/>
              <w:spacing w:before="0" w:after="0"/>
              <w:jc w:val="both"/>
              <w:rPr>
                <w:rFonts w:ascii="Montserrat;sans-serif" w:hAnsi="Montserrat;sans-serif"/>
                <w:color w:val="000000"/>
                <w:sz w:val="18"/>
              </w:rPr>
            </w:pPr>
            <w:r>
              <w:rPr>
                <w:rFonts w:ascii="Montserrat;sans-serif" w:hAnsi="Montserrat;sans-serif"/>
                <w:color w:val="000000"/>
                <w:sz w:val="18"/>
              </w:rPr>
              <w:t>overseeing procedures for the treatment of complaints on accounting, internal accounting controls or audit matters;</w:t>
            </w:r>
          </w:p>
          <w:p>
            <w:pPr>
              <w:pStyle w:val="TableContents"/>
              <w:bidi w:val="0"/>
              <w:spacing w:before="0" w:after="0"/>
              <w:jc w:val="both"/>
              <w:rPr>
                <w:color w:val="7855FA"/>
              </w:rPr>
            </w:pPr>
            <w:r>
              <w:rPr>
                <w:color w:val="7855FA"/>
              </w:rPr>
              <w:t>•</w:t>
            </w:r>
          </w:p>
          <w:p>
            <w:pPr>
              <w:pStyle w:val="TableContents"/>
              <w:bidi w:val="0"/>
              <w:spacing w:before="0" w:after="0"/>
              <w:jc w:val="both"/>
              <w:rPr>
                <w:rFonts w:ascii="Montserrat;sans-serif" w:hAnsi="Montserrat;sans-serif"/>
                <w:color w:val="000000"/>
                <w:sz w:val="18"/>
              </w:rPr>
            </w:pPr>
            <w:r>
              <w:rPr>
                <w:rFonts w:ascii="Montserrat;sans-serif" w:hAnsi="Montserrat;sans-serif"/>
                <w:color w:val="000000"/>
                <w:sz w:val="18"/>
              </w:rPr>
              <w:t>reviewing and discussing with management and the independent registered public accounting firm our audited and quarterly unaudited financial statements, the results of our annual audit, and our publicly-filed reports;</w:t>
            </w:r>
          </w:p>
          <w:p>
            <w:pPr>
              <w:pStyle w:val="TableContents"/>
              <w:bidi w:val="0"/>
              <w:spacing w:before="0" w:after="0"/>
              <w:jc w:val="both"/>
              <w:rPr>
                <w:color w:val="7855FA"/>
              </w:rPr>
            </w:pPr>
            <w:r>
              <w:rPr>
                <w:color w:val="7855FA"/>
              </w:rPr>
              <w:t>•</w:t>
            </w:r>
          </w:p>
          <w:p>
            <w:pPr>
              <w:pStyle w:val="TableContents"/>
              <w:bidi w:val="0"/>
              <w:spacing w:before="0" w:after="0"/>
              <w:jc w:val="both"/>
              <w:rPr>
                <w:rFonts w:ascii="Montserrat;sans-serif" w:hAnsi="Montserrat;sans-serif"/>
                <w:color w:val="000000"/>
                <w:sz w:val="18"/>
              </w:rPr>
            </w:pPr>
            <w:r>
              <w:rPr>
                <w:rFonts w:ascii="Montserrat;sans-serif" w:hAnsi="Montserrat;sans-serif"/>
                <w:color w:val="000000"/>
                <w:sz w:val="18"/>
              </w:rPr>
              <w:t>reviewing and discussing with management and the independent registered public accounting firm our major financial risk exposures and the steps management has taken to monitor and control those exposures;</w:t>
            </w:r>
          </w:p>
          <w:p>
            <w:pPr>
              <w:pStyle w:val="TableContents"/>
              <w:bidi w:val="0"/>
              <w:spacing w:before="0" w:after="0"/>
              <w:jc w:val="both"/>
              <w:rPr>
                <w:color w:val="7855FA"/>
              </w:rPr>
            </w:pPr>
            <w:r>
              <w:rPr>
                <w:color w:val="7855FA"/>
              </w:rPr>
              <w:t>•</w:t>
            </w:r>
          </w:p>
          <w:p>
            <w:pPr>
              <w:pStyle w:val="TableContents"/>
              <w:bidi w:val="0"/>
              <w:spacing w:before="0" w:after="0"/>
              <w:jc w:val="both"/>
              <w:rPr>
                <w:rFonts w:ascii="Montserrat;sans-serif" w:hAnsi="Montserrat;sans-serif"/>
                <w:color w:val="000000"/>
                <w:sz w:val="18"/>
              </w:rPr>
            </w:pPr>
            <w:r>
              <w:rPr>
                <w:rFonts w:ascii="Montserrat;sans-serif" w:hAnsi="Montserrat;sans-serif"/>
                <w:color w:val="000000"/>
                <w:sz w:val="18"/>
              </w:rPr>
              <w:t>overseeing our ERM framework, including policies and processes around the identification, management, monitoring, and mitigation of enterprise-wide risks;</w:t>
            </w:r>
          </w:p>
          <w:p>
            <w:pPr>
              <w:pStyle w:val="TableContents"/>
              <w:bidi w:val="0"/>
              <w:spacing w:before="0" w:after="0"/>
              <w:jc w:val="both"/>
              <w:rPr>
                <w:color w:val="7855FA"/>
              </w:rPr>
            </w:pPr>
            <w:r>
              <w:rPr>
                <w:color w:val="7855FA"/>
              </w:rPr>
              <w:t>•</w:t>
            </w:r>
          </w:p>
          <w:p>
            <w:pPr>
              <w:pStyle w:val="TableContents"/>
              <w:bidi w:val="0"/>
              <w:spacing w:before="0" w:after="0"/>
              <w:jc w:val="both"/>
              <w:rPr>
                <w:rFonts w:ascii="Montserrat;sans-serif" w:hAnsi="Montserrat;sans-serif"/>
                <w:color w:val="000000"/>
                <w:sz w:val="18"/>
              </w:rPr>
            </w:pPr>
            <w:r>
              <w:rPr>
                <w:rFonts w:ascii="Montserrat;sans-serif" w:hAnsi="Montserrat;sans-serif"/>
                <w:color w:val="000000"/>
                <w:sz w:val="18"/>
              </w:rPr>
              <w:t>reviewing and overseeing any related person transactions; and</w:t>
            </w:r>
          </w:p>
          <w:p>
            <w:pPr>
              <w:pStyle w:val="TableContents"/>
              <w:bidi w:val="0"/>
              <w:spacing w:before="0" w:after="0"/>
              <w:jc w:val="both"/>
              <w:rPr>
                <w:color w:val="7855FA"/>
              </w:rPr>
            </w:pPr>
            <w:r>
              <w:rPr>
                <w:color w:val="7855FA"/>
              </w:rPr>
              <w:t>•</w:t>
            </w:r>
          </w:p>
          <w:p>
            <w:pPr>
              <w:pStyle w:val="TableContents"/>
              <w:bidi w:val="0"/>
              <w:spacing w:before="0" w:after="0"/>
              <w:jc w:val="both"/>
              <w:rPr>
                <w:rFonts w:ascii="Montserrat;sans-serif" w:hAnsi="Montserrat;sans-serif"/>
                <w:color w:val="000000"/>
                <w:sz w:val="18"/>
              </w:rPr>
            </w:pPr>
            <w:r>
              <w:rPr>
                <w:rFonts w:ascii="Montserrat;sans-serif" w:hAnsi="Montserrat;sans-serif"/>
                <w:color w:val="000000"/>
                <w:sz w:val="18"/>
              </w:rPr>
              <w:t>preparing the Audit Committee report in our annual proxy statement.</w:t>
            </w:r>
          </w:p>
        </w:tc>
      </w:tr>
      <w:tr>
        <w:trPr/>
        <w:tc>
          <w:tcPr>
            <w:tcW w:w="11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190" w:type="dxa"/>
            <w:vMerge w:val="restart"/>
            <w:tcBorders>
              <w:bottom w:val="single" w:sz="4" w:space="0" w:color="FFFFFF"/>
            </w:tcBorders>
            <w:tcMar>
              <w:top w:w="0" w:type="dxa"/>
              <w:left w:w="0" w:type="dxa"/>
              <w:right w:w="0" w:type="dxa"/>
            </w:tcMar>
            <w:vAlign w:val="center"/>
          </w:tcPr>
          <w:p>
            <w:pPr>
              <w:pStyle w:val="TableContents"/>
              <w:bidi w:val="0"/>
              <w:jc w:val="left"/>
              <w:rPr/>
            </w:pPr>
            <w:r>
              <w:rPr/>
              <w:drawing>
                <wp:inline distT="0" distB="0" distL="0" distR="0">
                  <wp:extent cx="647700" cy="657225"/>
                  <wp:effectExtent l="0" t="0" r="0" b="0"/>
                  <wp:docPr id="113"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02" descr=""/>
                          <pic:cNvPicPr>
                            <a:picLocks noChangeAspect="1" noChangeArrowheads="1"/>
                          </pic:cNvPicPr>
                        </pic:nvPicPr>
                        <pic:blipFill>
                          <a:blip r:embed="rId106"/>
                          <a:stretch>
                            <a:fillRect/>
                          </a:stretch>
                        </pic:blipFill>
                        <pic:spPr bwMode="auto">
                          <a:xfrm>
                            <a:off x="0" y="0"/>
                            <a:ext cx="647700" cy="657225"/>
                          </a:xfrm>
                          <a:prstGeom prst="rect">
                            <a:avLst/>
                          </a:prstGeom>
                        </pic:spPr>
                      </pic:pic>
                    </a:graphicData>
                  </a:graphic>
                </wp:inline>
              </w:drawing>
            </w:r>
            <w:r>
              <w:rPr>
                <w:color w:val="6C60A5"/>
              </w:rPr>
              <w:t xml:space="preserve"> </w:t>
            </w:r>
          </w:p>
          <w:p>
            <w:pPr>
              <w:pStyle w:val="TableContents"/>
              <w:bidi w:val="0"/>
              <w:jc w:val="left"/>
              <w:rPr/>
            </w:pPr>
            <w:r>
              <w:rPr/>
              <w:t> </w:t>
            </w:r>
          </w:p>
          <w:p>
            <w:pPr>
              <w:pStyle w:val="TableContents"/>
              <w:bidi w:val="0"/>
              <w:jc w:val="left"/>
              <w:rPr>
                <w:rFonts w:ascii="Montserrat;sans-serif" w:hAnsi="Montserrat;sans-serif"/>
                <w:b/>
                <w:color w:val="7855FA"/>
                <w:sz w:val="18"/>
              </w:rPr>
            </w:pPr>
            <w:r>
              <w:rPr>
                <w:rFonts w:ascii="Montserrat;sans-serif" w:hAnsi="Montserrat;sans-serif"/>
                <w:b/>
                <w:color w:val="7855FA"/>
                <w:sz w:val="18"/>
              </w:rPr>
              <w:t>Chair:</w:t>
            </w:r>
          </w:p>
          <w:p>
            <w:pPr>
              <w:pStyle w:val="TableContents"/>
              <w:bidi w:val="0"/>
              <w:spacing w:before="60" w:after="283"/>
              <w:jc w:val="left"/>
              <w:rPr>
                <w:rFonts w:ascii="Montserrat;sans-serif" w:hAnsi="Montserrat;sans-serif"/>
                <w:color w:val="000000"/>
                <w:sz w:val="18"/>
              </w:rPr>
            </w:pPr>
            <w:r>
              <w:rPr>
                <w:rFonts w:ascii="Montserrat;sans-serif" w:hAnsi="Montserrat;sans-serif"/>
                <w:color w:val="000000"/>
                <w:sz w:val="18"/>
              </w:rPr>
              <w:t>Mark Templeton</w:t>
            </w:r>
          </w:p>
          <w:p>
            <w:pPr>
              <w:pStyle w:val="TableContents"/>
              <w:bidi w:val="0"/>
              <w:spacing w:before="120" w:after="283"/>
              <w:jc w:val="left"/>
              <w:rPr>
                <w:rFonts w:ascii="Montserrat;sans-serif" w:hAnsi="Montserrat;sans-serif"/>
                <w:b/>
                <w:color w:val="7855FA"/>
                <w:sz w:val="18"/>
              </w:rPr>
            </w:pPr>
            <w:r>
              <w:rPr>
                <w:rFonts w:ascii="Montserrat;sans-serif" w:hAnsi="Montserrat;sans-serif"/>
                <w:b/>
                <w:color w:val="7855FA"/>
                <w:sz w:val="18"/>
              </w:rPr>
              <w:t>Other Members:</w:t>
            </w:r>
          </w:p>
          <w:p>
            <w:pPr>
              <w:pStyle w:val="TableContents"/>
              <w:bidi w:val="0"/>
              <w:spacing w:before="60" w:after="283"/>
              <w:jc w:val="left"/>
              <w:rPr>
                <w:color w:val="7855FA"/>
              </w:rPr>
            </w:pPr>
            <w:r>
              <w:rPr>
                <w:color w:val="7855FA"/>
              </w:rPr>
              <w:t>•</w:t>
            </w:r>
          </w:p>
          <w:p>
            <w:pPr>
              <w:pStyle w:val="TableContents"/>
              <w:bidi w:val="0"/>
              <w:spacing w:before="60" w:after="283"/>
              <w:jc w:val="left"/>
              <w:rPr>
                <w:rFonts w:ascii="Montserrat;sans-serif" w:hAnsi="Montserrat;sans-serif"/>
                <w:color w:val="000000"/>
                <w:sz w:val="18"/>
              </w:rPr>
            </w:pPr>
            <w:r>
              <w:rPr>
                <w:rFonts w:ascii="Montserrat;sans-serif" w:hAnsi="Montserrat;sans-serif"/>
                <w:color w:val="000000"/>
                <w:sz w:val="18"/>
              </w:rPr>
              <w:t>Craig Conway</w:t>
            </w:r>
          </w:p>
          <w:p>
            <w:pPr>
              <w:pStyle w:val="TableContents"/>
              <w:bidi w:val="0"/>
              <w:spacing w:before="0" w:after="0"/>
              <w:jc w:val="left"/>
              <w:rPr>
                <w:color w:val="7855FA"/>
              </w:rPr>
            </w:pPr>
            <w:r>
              <w:rPr>
                <w:color w:val="7855FA"/>
              </w:rPr>
              <w:t>•</w:t>
            </w:r>
          </w:p>
          <w:p>
            <w:pPr>
              <w:pStyle w:val="TableContents"/>
              <w:bidi w:val="0"/>
              <w:jc w:val="left"/>
              <w:rPr>
                <w:rFonts w:ascii="Montserrat;sans-serif" w:hAnsi="Montserrat;sans-serif"/>
                <w:color w:val="000000"/>
                <w:sz w:val="18"/>
              </w:rPr>
            </w:pPr>
            <w:r>
              <w:rPr>
                <w:rFonts w:ascii="Montserrat;sans-serif" w:hAnsi="Montserrat;sans-serif"/>
                <w:color w:val="000000"/>
                <w:sz w:val="18"/>
              </w:rPr>
              <w:t>Max de Groen</w:t>
            </w:r>
          </w:p>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120" w:after="283"/>
              <w:jc w:val="left"/>
              <w:rPr/>
            </w:pPr>
            <w:r>
              <w:rPr/>
              <w:t> </w:t>
            </w:r>
          </w:p>
        </w:tc>
        <w:tc>
          <w:tcPr>
            <w:tcW w:w="8869" w:type="dxa"/>
            <w:tcBorders>
              <w:bottom w:val="single" w:sz="4" w:space="0" w:color="7855FA"/>
            </w:tcBorders>
            <w:tcMar>
              <w:top w:w="0" w:type="dxa"/>
              <w:left w:w="0" w:type="dxa"/>
              <w:right w:w="0" w:type="dxa"/>
            </w:tcMar>
            <w:vAlign w:val="center"/>
          </w:tcPr>
          <w:p>
            <w:pPr>
              <w:pStyle w:val="TableContents"/>
              <w:bidi w:val="0"/>
              <w:spacing w:before="0" w:after="283"/>
              <w:jc w:val="left"/>
              <w:rPr>
                <w:rFonts w:ascii="Montserrat;sans-serif" w:hAnsi="Montserrat;sans-serif"/>
                <w:b/>
                <w:color w:val="7855FA"/>
                <w:sz w:val="22"/>
              </w:rPr>
            </w:pPr>
            <w:r>
              <w:rPr>
                <w:rFonts w:ascii="Montserrat;sans-serif" w:hAnsi="Montserrat;sans-serif"/>
                <w:b/>
                <w:color w:val="7855FA"/>
                <w:sz w:val="22"/>
              </w:rPr>
              <w:t>Compensation Committee</w:t>
            </w:r>
          </w:p>
        </w:tc>
      </w:tr>
      <w:tr>
        <w:trPr/>
        <w:tc>
          <w:tcPr>
            <w:tcW w:w="1190" w:type="dxa"/>
            <w:vMerge w:val="continue"/>
            <w:tcBorders>
              <w:bottom w:val="single" w:sz="4" w:space="0" w:color="FFFFFF"/>
            </w:tcBorders>
            <w:tcMar>
              <w:top w:w="0" w:type="dxa"/>
              <w:left w:w="0" w:type="dxa"/>
              <w:right w:w="0" w:type="dxa"/>
            </w:tcMar>
            <w:vAlign w:val="center"/>
          </w:tcPr>
          <w:p>
            <w:pPr>
              <w:pStyle w:val="Normal"/>
              <w:bidi w:val="0"/>
              <w:jc w:val="left"/>
              <w:rPr/>
            </w:pPr>
            <w:r>
              <w:rPr/>
            </w:r>
          </w:p>
        </w:tc>
        <w:tc>
          <w:tcPr>
            <w:tcW w:w="146" w:type="dxa"/>
            <w:tcBorders>
              <w:bottom w:val="single" w:sz="4" w:space="0" w:color="FFFFFF"/>
            </w:tcBorders>
            <w:tcMar>
              <w:top w:w="0" w:type="dxa"/>
              <w:left w:w="0" w:type="dxa"/>
              <w:right w:w="0" w:type="dxa"/>
            </w:tcMar>
            <w:vAlign w:val="center"/>
          </w:tcPr>
          <w:p>
            <w:pPr>
              <w:pStyle w:val="TableContents"/>
              <w:bidi w:val="0"/>
              <w:spacing w:before="120" w:after="283"/>
              <w:jc w:val="left"/>
              <w:rPr/>
            </w:pPr>
            <w:r>
              <w:rPr/>
              <w:t> </w:t>
            </w:r>
          </w:p>
        </w:tc>
        <w:tc>
          <w:tcPr>
            <w:tcW w:w="8869" w:type="dxa"/>
            <w:tcBorders>
              <w:bottom w:val="single" w:sz="4" w:space="0" w:color="FFFFFF"/>
            </w:tcBorders>
            <w:tcMar>
              <w:top w:w="0" w:type="dxa"/>
              <w:left w:w="0" w:type="dxa"/>
              <w:right w:w="0" w:type="dxa"/>
            </w:tcMar>
            <w:vAlign w:val="center"/>
          </w:tcPr>
          <w:p>
            <w:pPr>
              <w:pStyle w:val="TableContents"/>
              <w:bidi w:val="0"/>
              <w:spacing w:before="60" w:after="283"/>
              <w:jc w:val="both"/>
              <w:rPr>
                <w:rFonts w:ascii="Montserrat;sans-serif" w:hAnsi="Montserrat;sans-serif"/>
                <w:color w:val="000000"/>
                <w:sz w:val="18"/>
              </w:rPr>
            </w:pPr>
            <w:r>
              <w:rPr>
                <w:rFonts w:ascii="Montserrat;sans-serif" w:hAnsi="Montserrat;sans-serif"/>
                <w:color w:val="000000"/>
                <w:sz w:val="18"/>
              </w:rPr>
              <w:t>The Compensation Committee is composed of Mr. Conway, Mr. de Groen, and Mr. Templeton, each of whom is a non-employee director. Mr. Templeton has served as the current chair of the Compensation Committee since March 2025. Our Board has determined that each member of the Compensation Committee meets the requirements for independence under applicable SEC rules and Nasdaq listing rules, including a determination that each member of the Compensation Committee is a “non-employee director” within the meaning of Rule 16b-3 under the Exchange Act. The Compensation Committee is responsible for, among other things:</w:t>
            </w:r>
          </w:p>
          <w:p>
            <w:pPr>
              <w:pStyle w:val="TableContents"/>
              <w:bidi w:val="0"/>
              <w:spacing w:before="60" w:after="283"/>
              <w:jc w:val="both"/>
              <w:rPr>
                <w:color w:val="7855FA"/>
              </w:rPr>
            </w:pPr>
            <w:r>
              <w:rPr>
                <w:color w:val="7855FA"/>
              </w:rPr>
              <w:t>•</w:t>
            </w:r>
          </w:p>
          <w:p>
            <w:pPr>
              <w:pStyle w:val="TableContents"/>
              <w:bidi w:val="0"/>
              <w:spacing w:before="60" w:after="283"/>
              <w:jc w:val="both"/>
              <w:rPr>
                <w:rFonts w:ascii="Montserrat;sans-serif" w:hAnsi="Montserrat;sans-serif"/>
                <w:color w:val="000000"/>
                <w:sz w:val="18"/>
              </w:rPr>
            </w:pPr>
            <w:r>
              <w:rPr>
                <w:rFonts w:ascii="Montserrat;sans-serif" w:hAnsi="Montserrat;sans-serif"/>
                <w:color w:val="000000"/>
                <w:sz w:val="18"/>
              </w:rPr>
              <w:t>reviewing and approving our CEO’s and other executive officers’ annual base salaries, incentive compensation plans, including the specific goals and amounts, equity compensation, employment agreements, severance arrangements, and change of control agreements, and any other benefits, compensation or arrangements;</w:t>
            </w:r>
          </w:p>
          <w:p>
            <w:pPr>
              <w:pStyle w:val="TableContents"/>
              <w:bidi w:val="0"/>
              <w:spacing w:before="0" w:after="0"/>
              <w:jc w:val="both"/>
              <w:rPr>
                <w:color w:val="7855FA"/>
              </w:rPr>
            </w:pPr>
            <w:r>
              <w:rPr>
                <w:color w:val="7855FA"/>
              </w:rPr>
              <w:t>•</w:t>
            </w:r>
          </w:p>
          <w:p>
            <w:pPr>
              <w:pStyle w:val="TableContents"/>
              <w:bidi w:val="0"/>
              <w:spacing w:before="0" w:after="0"/>
              <w:jc w:val="both"/>
              <w:rPr>
                <w:rFonts w:ascii="Montserrat;sans-serif" w:hAnsi="Montserrat;sans-serif"/>
                <w:color w:val="000000"/>
                <w:sz w:val="18"/>
              </w:rPr>
            </w:pPr>
            <w:r>
              <w:rPr>
                <w:rFonts w:ascii="Montserrat;sans-serif" w:hAnsi="Montserrat;sans-serif"/>
                <w:color w:val="000000"/>
                <w:sz w:val="18"/>
              </w:rPr>
              <w:t>administering our equity compensation plans;</w:t>
            </w:r>
          </w:p>
          <w:p>
            <w:pPr>
              <w:pStyle w:val="TableContents"/>
              <w:bidi w:val="0"/>
              <w:spacing w:before="0" w:after="0"/>
              <w:jc w:val="both"/>
              <w:rPr>
                <w:color w:val="7855FA"/>
              </w:rPr>
            </w:pPr>
            <w:r>
              <w:rPr>
                <w:color w:val="7855FA"/>
              </w:rPr>
              <w:t>•</w:t>
            </w:r>
          </w:p>
          <w:p>
            <w:pPr>
              <w:pStyle w:val="TableContents"/>
              <w:bidi w:val="0"/>
              <w:spacing w:before="0" w:after="0"/>
              <w:jc w:val="both"/>
              <w:rPr>
                <w:rFonts w:ascii="Montserrat;sans-serif" w:hAnsi="Montserrat;sans-serif"/>
                <w:color w:val="000000"/>
                <w:sz w:val="18"/>
              </w:rPr>
            </w:pPr>
            <w:r>
              <w:rPr>
                <w:rFonts w:ascii="Montserrat;sans-serif" w:hAnsi="Montserrat;sans-serif"/>
                <w:color w:val="000000"/>
                <w:sz w:val="18"/>
              </w:rPr>
              <w:t>overseeing our overall compensation philosophy, compensation plans, and benefits programs;</w:t>
            </w:r>
          </w:p>
          <w:p>
            <w:pPr>
              <w:pStyle w:val="TableContents"/>
              <w:bidi w:val="0"/>
              <w:spacing w:before="0" w:after="0"/>
              <w:jc w:val="both"/>
              <w:rPr>
                <w:color w:val="7855FA"/>
              </w:rPr>
            </w:pPr>
            <w:r>
              <w:rPr>
                <w:color w:val="7855FA"/>
              </w:rPr>
              <w:t>•</w:t>
            </w:r>
          </w:p>
          <w:p>
            <w:pPr>
              <w:pStyle w:val="TableContents"/>
              <w:bidi w:val="0"/>
              <w:spacing w:before="0" w:after="0"/>
              <w:jc w:val="both"/>
              <w:rPr>
                <w:rFonts w:ascii="Montserrat;sans-serif" w:hAnsi="Montserrat;sans-serif"/>
                <w:color w:val="000000"/>
                <w:sz w:val="18"/>
              </w:rPr>
            </w:pPr>
            <w:r>
              <w:rPr>
                <w:rFonts w:ascii="Montserrat;sans-serif" w:hAnsi="Montserrat;sans-serif"/>
                <w:color w:val="000000"/>
                <w:sz w:val="18"/>
              </w:rPr>
              <w:t>reviewing the compensation disclosures in our annual proxy statement;</w:t>
            </w:r>
          </w:p>
          <w:p>
            <w:pPr>
              <w:pStyle w:val="TableContents"/>
              <w:bidi w:val="0"/>
              <w:spacing w:before="0" w:after="0"/>
              <w:jc w:val="both"/>
              <w:rPr>
                <w:color w:val="7855FA"/>
              </w:rPr>
            </w:pPr>
            <w:r>
              <w:rPr>
                <w:color w:val="7855FA"/>
              </w:rPr>
              <w:t>•</w:t>
            </w:r>
          </w:p>
          <w:p>
            <w:pPr>
              <w:pStyle w:val="TableContents"/>
              <w:bidi w:val="0"/>
              <w:spacing w:before="0" w:after="0"/>
              <w:jc w:val="both"/>
              <w:rPr>
                <w:rFonts w:ascii="Montserrat;sans-serif" w:hAnsi="Montserrat;sans-serif"/>
                <w:color w:val="000000"/>
                <w:sz w:val="18"/>
              </w:rPr>
            </w:pPr>
            <w:r>
              <w:rPr>
                <w:rFonts w:ascii="Montserrat;sans-serif" w:hAnsi="Montserrat;sans-serif"/>
                <w:color w:val="000000"/>
                <w:sz w:val="18"/>
              </w:rPr>
              <w:t>reviewing and monitoring matters related to human capital management, including talent acquisition and retention and development; and</w:t>
            </w:r>
          </w:p>
          <w:p>
            <w:pPr>
              <w:pStyle w:val="TableContents"/>
              <w:bidi w:val="0"/>
              <w:spacing w:before="0" w:after="0"/>
              <w:jc w:val="both"/>
              <w:rPr>
                <w:color w:val="7855FA"/>
              </w:rPr>
            </w:pPr>
            <w:r>
              <w:rPr>
                <w:color w:val="7855FA"/>
              </w:rPr>
              <w:t>•</w:t>
            </w:r>
          </w:p>
          <w:p>
            <w:pPr>
              <w:pStyle w:val="TableContents"/>
              <w:bidi w:val="0"/>
              <w:spacing w:before="0" w:after="0"/>
              <w:jc w:val="both"/>
              <w:rPr>
                <w:rFonts w:ascii="Montserrat;sans-serif" w:hAnsi="Montserrat;sans-serif"/>
                <w:color w:val="000000"/>
                <w:sz w:val="18"/>
              </w:rPr>
            </w:pPr>
            <w:r>
              <w:rPr>
                <w:rFonts w:ascii="Montserrat;sans-serif" w:hAnsi="Montserrat;sans-serif"/>
                <w:color w:val="000000"/>
                <w:sz w:val="18"/>
              </w:rPr>
              <w:t>reviewing succession planning for the CEO and other members of our executive leadership.</w:t>
            </w:r>
          </w:p>
        </w:tc>
      </w:tr>
    </w:tbl>
    <w:p>
      <w:pPr>
        <w:pStyle w:val="TextBody"/>
        <w:bidi w:val="0"/>
        <w:spacing w:before="360" w:after="283"/>
        <w:jc w:val="left"/>
        <w:rPr>
          <w:rFonts w:ascii="Montserrat;Montserrat Medium;sans-serif" w:hAnsi="Montserrat;Montserrat Medium;sans-serif"/>
          <w:b/>
          <w:color w:val="7855FA"/>
          <w:sz w:val="20"/>
        </w:rPr>
      </w:pPr>
      <w:r>
        <w:rPr>
          <w:rFonts w:ascii="Montserrat;Montserrat Medium;sans-serif" w:hAnsi="Montserrat;Montserrat Medium;sans-serif"/>
          <w:b/>
          <w:color w:val="7855FA"/>
          <w:sz w:val="20"/>
        </w:rPr>
        <w:t>Compensation Committee Interlocks and Insider Participation</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None of the members of the Compensation Committee has been an officer or employee of our company. None of our executive officers currently serves, or during fiscal year 2026 has served, as a member of the Compensation Committee or director (or other Board committee performing equivalent functions or, in the absence of any such committee, the entire Board of Directors) of any entity that has one or more executive officers serving on the Compensation Committee or our Board.</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301"/>
        <w:gridCol w:w="2671"/>
      </w:tblGrid>
      <w:tr>
        <w:trPr/>
        <w:tc>
          <w:tcPr>
            <w:tcW w:w="30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16</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114"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03" descr=""/>
                          <pic:cNvPicPr>
                            <a:picLocks noChangeAspect="1" noChangeArrowheads="1"/>
                          </pic:cNvPicPr>
                        </pic:nvPicPr>
                        <pic:blipFill>
                          <a:blip r:embed="rId107"/>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rFonts w:ascii="Montserrat;sans-serif" w:hAnsi="Montserrat;sans-serif"/>
          <w:color w:val="000000"/>
          <w:sz w:val="13"/>
        </w:rPr>
      </w:pPr>
      <w:r>
        <w:rPr>
          <w:rFonts w:ascii="Montserrat;sans-serif" w:hAnsi="Montserrat;sans-serif"/>
          <w:color w:val="000000"/>
          <w:sz w:val="13"/>
        </w:rPr>
        <w:t>Corporate Governance</w:t>
      </w:r>
    </w:p>
    <w:p>
      <w:pPr>
        <w:pStyle w:val="TextBody"/>
        <w:bidi w:val="0"/>
        <w:spacing w:before="60" w:after="283"/>
        <w:jc w:val="right"/>
        <w:rPr>
          <w:rFonts w:ascii="Montserrat;sans-serif" w:hAnsi="Montserrat;sans-serif"/>
          <w:color w:val="000000"/>
          <w:sz w:val="12"/>
        </w:rPr>
      </w:pPr>
      <w:r>
        <w:rPr>
          <w:rFonts w:ascii="Montserrat;sans-serif" w:hAnsi="Montserrat;sans-serif"/>
          <w:color w:val="000000"/>
          <w:sz w:val="12"/>
        </w:rPr>
        <w:t>Board of Directors and Its Committees</w:t>
      </w:r>
    </w:p>
    <w:p>
      <w:pPr>
        <w:pStyle w:val="TextBody"/>
        <w:bidi w:val="0"/>
        <w:jc w:val="right"/>
        <w:rPr/>
      </w:pPr>
      <w:r>
        <w:rPr/>
        <w:t> </w:t>
      </w:r>
    </w:p>
    <w:p>
      <w:pPr>
        <w:pStyle w:val="TextBody"/>
        <w:bidi w:val="0"/>
        <w:jc w:val="righ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218"/>
        <w:gridCol w:w="146"/>
        <w:gridCol w:w="8841"/>
      </w:tblGrid>
      <w:tr>
        <w:trPr/>
        <w:tc>
          <w:tcPr>
            <w:tcW w:w="12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41" w:type="dxa"/>
            <w:tcBorders/>
            <w:vAlign w:val="center"/>
          </w:tcPr>
          <w:p>
            <w:pPr>
              <w:pStyle w:val="TableContents"/>
              <w:bidi w:val="0"/>
              <w:spacing w:before="0" w:after="283"/>
              <w:jc w:val="left"/>
              <w:rPr>
                <w:sz w:val="4"/>
                <w:szCs w:val="4"/>
              </w:rPr>
            </w:pPr>
            <w:r>
              <w:rPr>
                <w:sz w:val="4"/>
                <w:szCs w:val="4"/>
              </w:rPr>
            </w:r>
          </w:p>
        </w:tc>
      </w:tr>
      <w:tr>
        <w:trPr/>
        <w:tc>
          <w:tcPr>
            <w:tcW w:w="1218" w:type="dxa"/>
            <w:vMerge w:val="restart"/>
            <w:tcBorders>
              <w:bottom w:val="single" w:sz="4" w:space="0" w:color="FFFFFF"/>
            </w:tcBorders>
            <w:tcMar>
              <w:top w:w="0" w:type="dxa"/>
              <w:left w:w="0" w:type="dxa"/>
              <w:right w:w="0" w:type="dxa"/>
            </w:tcMar>
            <w:vAlign w:val="center"/>
          </w:tcPr>
          <w:p>
            <w:pPr>
              <w:pStyle w:val="TableContents"/>
              <w:bidi w:val="0"/>
              <w:jc w:val="left"/>
              <w:rPr/>
            </w:pPr>
            <w:r>
              <w:rPr/>
              <w:drawing>
                <wp:inline distT="0" distB="0" distL="0" distR="0">
                  <wp:extent cx="647700" cy="657225"/>
                  <wp:effectExtent l="0" t="0" r="0" b="0"/>
                  <wp:docPr id="115"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04" descr=""/>
                          <pic:cNvPicPr>
                            <a:picLocks noChangeAspect="1" noChangeArrowheads="1"/>
                          </pic:cNvPicPr>
                        </pic:nvPicPr>
                        <pic:blipFill>
                          <a:blip r:embed="rId108"/>
                          <a:stretch>
                            <a:fillRect/>
                          </a:stretch>
                        </pic:blipFill>
                        <pic:spPr bwMode="auto">
                          <a:xfrm>
                            <a:off x="0" y="0"/>
                            <a:ext cx="647700" cy="657225"/>
                          </a:xfrm>
                          <a:prstGeom prst="rect">
                            <a:avLst/>
                          </a:prstGeom>
                        </pic:spPr>
                      </pic:pic>
                    </a:graphicData>
                  </a:graphic>
                </wp:inline>
              </w:drawing>
            </w:r>
          </w:p>
          <w:p>
            <w:pPr>
              <w:pStyle w:val="TableContents"/>
              <w:bidi w:val="0"/>
              <w:jc w:val="left"/>
              <w:rPr/>
            </w:pPr>
            <w:r>
              <w:rPr/>
              <w:t> </w:t>
            </w:r>
          </w:p>
          <w:p>
            <w:pPr>
              <w:pStyle w:val="TableContents"/>
              <w:bidi w:val="0"/>
              <w:jc w:val="left"/>
              <w:rPr>
                <w:rFonts w:ascii="Montserrat;sans-serif" w:hAnsi="Montserrat;sans-serif"/>
                <w:b/>
                <w:color w:val="7855FA"/>
                <w:sz w:val="18"/>
              </w:rPr>
            </w:pPr>
            <w:r>
              <w:rPr>
                <w:rFonts w:ascii="Montserrat;sans-serif" w:hAnsi="Montserrat;sans-serif"/>
                <w:b/>
                <w:color w:val="7855FA"/>
                <w:sz w:val="18"/>
              </w:rPr>
              <w:t>Chair:</w:t>
            </w:r>
          </w:p>
          <w:p>
            <w:pPr>
              <w:pStyle w:val="TableContents"/>
              <w:bidi w:val="0"/>
              <w:spacing w:before="60" w:after="283"/>
              <w:jc w:val="left"/>
              <w:rPr>
                <w:rFonts w:ascii="Montserrat;sans-serif" w:hAnsi="Montserrat;sans-serif"/>
                <w:color w:val="000000"/>
                <w:sz w:val="18"/>
              </w:rPr>
            </w:pPr>
            <w:r>
              <w:rPr>
                <w:rFonts w:ascii="Montserrat;sans-serif" w:hAnsi="Montserrat;sans-serif"/>
                <w:color w:val="000000"/>
                <w:sz w:val="18"/>
              </w:rPr>
              <w:t>Virginia Gambale</w:t>
            </w:r>
          </w:p>
          <w:p>
            <w:pPr>
              <w:pStyle w:val="TableContents"/>
              <w:bidi w:val="0"/>
              <w:spacing w:before="60" w:after="283"/>
              <w:jc w:val="left"/>
              <w:rPr>
                <w:rFonts w:ascii="Montserrat;sans-serif" w:hAnsi="Montserrat;sans-serif"/>
                <w:b/>
                <w:color w:val="7855FA"/>
                <w:sz w:val="18"/>
              </w:rPr>
            </w:pPr>
            <w:r>
              <w:rPr>
                <w:rFonts w:ascii="Montserrat;sans-serif" w:hAnsi="Montserrat;sans-serif"/>
                <w:b/>
                <w:color w:val="7855FA"/>
                <w:sz w:val="18"/>
              </w:rPr>
              <w:t>Other Members:</w:t>
            </w:r>
          </w:p>
          <w:p>
            <w:pPr>
              <w:pStyle w:val="TableContents"/>
              <w:bidi w:val="0"/>
              <w:spacing w:before="60" w:after="283"/>
              <w:jc w:val="left"/>
              <w:rPr>
                <w:color w:val="7855FA"/>
              </w:rPr>
            </w:pPr>
            <w:r>
              <w:rPr>
                <w:color w:val="7855FA"/>
              </w:rPr>
              <w:t>•</w:t>
            </w:r>
          </w:p>
          <w:p>
            <w:pPr>
              <w:pStyle w:val="TableContents"/>
              <w:bidi w:val="0"/>
              <w:spacing w:before="60" w:after="283"/>
              <w:jc w:val="left"/>
              <w:rPr>
                <w:rFonts w:ascii="Montserrat;sans-serif" w:hAnsi="Montserrat;sans-serif"/>
                <w:color w:val="000000"/>
                <w:sz w:val="18"/>
              </w:rPr>
            </w:pPr>
            <w:r>
              <w:rPr>
                <w:rFonts w:ascii="Montserrat;sans-serif" w:hAnsi="Montserrat;sans-serif"/>
                <w:color w:val="000000"/>
                <w:sz w:val="18"/>
              </w:rPr>
              <w:t>Craig Conway</w:t>
            </w:r>
          </w:p>
          <w:p>
            <w:pPr>
              <w:pStyle w:val="TableContents"/>
              <w:bidi w:val="0"/>
              <w:spacing w:before="0" w:after="0"/>
              <w:jc w:val="left"/>
              <w:rPr>
                <w:color w:val="7855FA"/>
              </w:rPr>
            </w:pPr>
            <w:r>
              <w:rPr>
                <w:color w:val="7855FA"/>
              </w:rPr>
              <w:t>•</w:t>
            </w:r>
          </w:p>
          <w:p>
            <w:pPr>
              <w:pStyle w:val="TableContents"/>
              <w:bidi w:val="0"/>
              <w:spacing w:before="0" w:after="0"/>
              <w:jc w:val="left"/>
              <w:rPr>
                <w:rFonts w:ascii="Montserrat;sans-serif" w:hAnsi="Montserrat;sans-serif"/>
                <w:color w:val="000000"/>
                <w:sz w:val="18"/>
              </w:rPr>
            </w:pPr>
            <w:r>
              <w:rPr>
                <w:rFonts w:ascii="Montserrat;sans-serif" w:hAnsi="Montserrat;sans-serif"/>
                <w:color w:val="000000"/>
                <w:sz w:val="18"/>
              </w:rPr>
              <w:t>Steven J. Gomo</w:t>
            </w:r>
          </w:p>
        </w:tc>
        <w:tc>
          <w:tcPr>
            <w:tcW w:w="146" w:type="dxa"/>
            <w:tcBorders>
              <w:bottom w:val="single" w:sz="4" w:space="0" w:color="000000"/>
            </w:tcBorders>
            <w:tcMar>
              <w:top w:w="0" w:type="dxa"/>
              <w:left w:w="0" w:type="dxa"/>
              <w:right w:w="0" w:type="dxa"/>
            </w:tcMar>
            <w:vAlign w:val="center"/>
          </w:tcPr>
          <w:p>
            <w:pPr>
              <w:pStyle w:val="TableContents"/>
              <w:bidi w:val="0"/>
              <w:spacing w:before="120" w:after="283"/>
              <w:jc w:val="left"/>
              <w:rPr/>
            </w:pPr>
            <w:r>
              <w:rPr/>
              <w:t> </w:t>
            </w:r>
          </w:p>
        </w:tc>
        <w:tc>
          <w:tcPr>
            <w:tcW w:w="8841" w:type="dxa"/>
            <w:tcBorders>
              <w:bottom w:val="single" w:sz="4" w:space="0" w:color="7855FA"/>
            </w:tcBorders>
            <w:tcMar>
              <w:top w:w="0" w:type="dxa"/>
              <w:left w:w="0" w:type="dxa"/>
              <w:right w:w="0" w:type="dxa"/>
            </w:tcMar>
            <w:vAlign w:val="center"/>
          </w:tcPr>
          <w:p>
            <w:pPr>
              <w:pStyle w:val="TableContents"/>
              <w:bidi w:val="0"/>
              <w:spacing w:before="0" w:after="283"/>
              <w:jc w:val="left"/>
              <w:rPr>
                <w:rFonts w:ascii="Montserrat;sans-serif" w:hAnsi="Montserrat;sans-serif"/>
                <w:b/>
                <w:color w:val="7855FA"/>
                <w:sz w:val="22"/>
              </w:rPr>
            </w:pPr>
            <w:r>
              <w:rPr>
                <w:rFonts w:ascii="Montserrat;sans-serif" w:hAnsi="Montserrat;sans-serif"/>
                <w:b/>
                <w:color w:val="7855FA"/>
                <w:sz w:val="22"/>
              </w:rPr>
              <w:t>Nominating and Corporate Governance Committee</w:t>
            </w:r>
          </w:p>
        </w:tc>
      </w:tr>
      <w:tr>
        <w:trPr/>
        <w:tc>
          <w:tcPr>
            <w:tcW w:w="1218" w:type="dxa"/>
            <w:vMerge w:val="continue"/>
            <w:tcBorders>
              <w:bottom w:val="single" w:sz="4" w:space="0" w:color="FFFFFF"/>
            </w:tcBorders>
            <w:tcMar>
              <w:top w:w="0" w:type="dxa"/>
              <w:left w:w="0" w:type="dxa"/>
              <w:right w:w="0" w:type="dxa"/>
            </w:tcMar>
            <w:vAlign w:val="center"/>
          </w:tcPr>
          <w:p>
            <w:pPr>
              <w:pStyle w:val="Normal"/>
              <w:bidi w:val="0"/>
              <w:jc w:val="left"/>
              <w:rPr/>
            </w:pPr>
            <w:r>
              <w:rPr/>
            </w:r>
          </w:p>
        </w:tc>
        <w:tc>
          <w:tcPr>
            <w:tcW w:w="146" w:type="dxa"/>
            <w:tcBorders>
              <w:bottom w:val="single" w:sz="4" w:space="0" w:color="FFFFFF"/>
            </w:tcBorders>
            <w:tcMar>
              <w:top w:w="0" w:type="dxa"/>
              <w:left w:w="0" w:type="dxa"/>
              <w:right w:w="0" w:type="dxa"/>
            </w:tcMar>
            <w:vAlign w:val="center"/>
          </w:tcPr>
          <w:p>
            <w:pPr>
              <w:pStyle w:val="TableContents"/>
              <w:bidi w:val="0"/>
              <w:spacing w:before="120" w:after="283"/>
              <w:jc w:val="left"/>
              <w:rPr/>
            </w:pPr>
            <w:r>
              <w:rPr/>
              <w:t> </w:t>
            </w:r>
          </w:p>
        </w:tc>
        <w:tc>
          <w:tcPr>
            <w:tcW w:w="8841" w:type="dxa"/>
            <w:tcBorders>
              <w:bottom w:val="single" w:sz="4" w:space="0" w:color="FFFFFF"/>
            </w:tcBorders>
            <w:tcMar>
              <w:top w:w="0" w:type="dxa"/>
              <w:left w:w="0" w:type="dxa"/>
              <w:right w:w="0" w:type="dxa"/>
            </w:tcMar>
            <w:vAlign w:val="center"/>
          </w:tcPr>
          <w:p>
            <w:pPr>
              <w:pStyle w:val="TableContents"/>
              <w:bidi w:val="0"/>
              <w:spacing w:before="60" w:after="283"/>
              <w:jc w:val="both"/>
              <w:rPr>
                <w:rFonts w:ascii="Montserrat;sans-serif" w:hAnsi="Montserrat;sans-serif"/>
                <w:color w:val="000000"/>
                <w:sz w:val="18"/>
              </w:rPr>
            </w:pPr>
            <w:r>
              <w:rPr>
                <w:rFonts w:ascii="Montserrat;sans-serif" w:hAnsi="Montserrat;sans-serif"/>
                <w:color w:val="000000"/>
                <w:sz w:val="18"/>
              </w:rPr>
              <w:t>The Nominating and Corporate Governance Committee is composed of Mr. Conway, Ms. Gambale, and Mr. Gomo, each of whom is a non-employee director. Ms. Gambale has served as the current chair of the Nominating and Corporate Governance Committee since October 2020. Our Board has determined that each member of the Nominating and Corporate Governance Committee meets the requirements for independence under Nasdaq listing rules. The Nominating and Corporate Governance Committee is responsible for, among other things:</w:t>
            </w:r>
          </w:p>
          <w:p>
            <w:pPr>
              <w:pStyle w:val="TableContents"/>
              <w:bidi w:val="0"/>
              <w:spacing w:before="60" w:after="283"/>
              <w:jc w:val="both"/>
              <w:rPr>
                <w:color w:val="7855FA"/>
              </w:rPr>
            </w:pPr>
            <w:r>
              <w:rPr>
                <w:color w:val="7855FA"/>
              </w:rPr>
              <w:t>•</w:t>
            </w:r>
          </w:p>
          <w:p>
            <w:pPr>
              <w:pStyle w:val="TableContents"/>
              <w:bidi w:val="0"/>
              <w:spacing w:before="60" w:after="283"/>
              <w:jc w:val="both"/>
              <w:rPr>
                <w:rFonts w:ascii="Montserrat;sans-serif" w:hAnsi="Montserrat;sans-serif"/>
                <w:color w:val="000000"/>
                <w:sz w:val="18"/>
              </w:rPr>
            </w:pPr>
            <w:r>
              <w:rPr>
                <w:rFonts w:ascii="Montserrat;sans-serif" w:hAnsi="Montserrat;sans-serif"/>
                <w:color w:val="000000"/>
                <w:sz w:val="18"/>
              </w:rPr>
              <w:t>determining the qualifications required to be a member of our Board and recommending to our Board the criteria to be considered in selecting director nominees;</w:t>
            </w:r>
          </w:p>
          <w:p>
            <w:pPr>
              <w:pStyle w:val="TableContents"/>
              <w:bidi w:val="0"/>
              <w:spacing w:before="0" w:after="0"/>
              <w:jc w:val="both"/>
              <w:rPr>
                <w:color w:val="7855FA"/>
              </w:rPr>
            </w:pPr>
            <w:r>
              <w:rPr>
                <w:color w:val="7855FA"/>
              </w:rPr>
              <w:t>•</w:t>
            </w:r>
          </w:p>
          <w:p>
            <w:pPr>
              <w:pStyle w:val="TableContents"/>
              <w:bidi w:val="0"/>
              <w:spacing w:before="0" w:after="0"/>
              <w:jc w:val="both"/>
              <w:rPr>
                <w:rFonts w:ascii="Montserrat;sans-serif" w:hAnsi="Montserrat;sans-serif"/>
                <w:color w:val="000000"/>
                <w:sz w:val="18"/>
              </w:rPr>
            </w:pPr>
            <w:r>
              <w:rPr>
                <w:rFonts w:ascii="Montserrat;sans-serif" w:hAnsi="Montserrat;sans-serif"/>
                <w:color w:val="000000"/>
                <w:sz w:val="18"/>
              </w:rPr>
              <w:t>evaluating and making recommendations regarding the composition, organization and governance of our Board and its committees;</w:t>
            </w:r>
          </w:p>
          <w:p>
            <w:pPr>
              <w:pStyle w:val="TableContents"/>
              <w:bidi w:val="0"/>
              <w:spacing w:before="0" w:after="0"/>
              <w:jc w:val="both"/>
              <w:rPr>
                <w:color w:val="7855FA"/>
              </w:rPr>
            </w:pPr>
            <w:r>
              <w:rPr>
                <w:color w:val="7855FA"/>
              </w:rPr>
              <w:t>•</w:t>
            </w:r>
          </w:p>
          <w:p>
            <w:pPr>
              <w:pStyle w:val="TableContents"/>
              <w:bidi w:val="0"/>
              <w:spacing w:before="0" w:after="0"/>
              <w:jc w:val="both"/>
              <w:rPr>
                <w:rFonts w:ascii="Montserrat;sans-serif" w:hAnsi="Montserrat;sans-serif"/>
                <w:color w:val="000000"/>
                <w:sz w:val="18"/>
              </w:rPr>
            </w:pPr>
            <w:r>
              <w:rPr>
                <w:rFonts w:ascii="Montserrat;sans-serif" w:hAnsi="Montserrat;sans-serif"/>
                <w:color w:val="000000"/>
                <w:sz w:val="18"/>
              </w:rPr>
              <w:t>evaluating and making recommendations regarding the creation of additional committees or the change in mandate or dissolution of committees;</w:t>
            </w:r>
          </w:p>
          <w:p>
            <w:pPr>
              <w:pStyle w:val="TableContents"/>
              <w:bidi w:val="0"/>
              <w:spacing w:before="0" w:after="0"/>
              <w:jc w:val="both"/>
              <w:rPr>
                <w:color w:val="7855FA"/>
              </w:rPr>
            </w:pPr>
            <w:r>
              <w:rPr>
                <w:color w:val="7855FA"/>
              </w:rPr>
              <w:t>•</w:t>
            </w:r>
          </w:p>
          <w:p>
            <w:pPr>
              <w:pStyle w:val="TableContents"/>
              <w:bidi w:val="0"/>
              <w:spacing w:before="0" w:after="0"/>
              <w:jc w:val="both"/>
              <w:rPr>
                <w:rFonts w:ascii="Montserrat;sans-serif" w:hAnsi="Montserrat;sans-serif"/>
                <w:color w:val="000000"/>
                <w:sz w:val="18"/>
              </w:rPr>
            </w:pPr>
            <w:r>
              <w:rPr>
                <w:rFonts w:ascii="Montserrat;sans-serif" w:hAnsi="Montserrat;sans-serif"/>
                <w:color w:val="000000"/>
                <w:sz w:val="18"/>
              </w:rPr>
              <w:t>developing and monitoring our corporate governance guidelines;</w:t>
            </w:r>
          </w:p>
          <w:p>
            <w:pPr>
              <w:pStyle w:val="TableContents"/>
              <w:bidi w:val="0"/>
              <w:spacing w:before="0" w:after="0"/>
              <w:jc w:val="both"/>
              <w:rPr>
                <w:color w:val="7855FA"/>
              </w:rPr>
            </w:pPr>
            <w:r>
              <w:rPr>
                <w:color w:val="7855FA"/>
              </w:rPr>
              <w:t>•</w:t>
            </w:r>
          </w:p>
          <w:p>
            <w:pPr>
              <w:pStyle w:val="TableContents"/>
              <w:bidi w:val="0"/>
              <w:spacing w:before="0" w:after="0"/>
              <w:jc w:val="both"/>
              <w:rPr>
                <w:rFonts w:ascii="Montserrat;sans-serif" w:hAnsi="Montserrat;sans-serif"/>
                <w:color w:val="000000"/>
                <w:sz w:val="18"/>
              </w:rPr>
            </w:pPr>
            <w:r>
              <w:rPr>
                <w:rFonts w:ascii="Montserrat;sans-serif" w:hAnsi="Montserrat;sans-serif"/>
                <w:color w:val="000000"/>
                <w:sz w:val="18"/>
              </w:rPr>
              <w:t>overseeing and periodically reviewing our environmental, social and governance activities, programs and public disclosure; and</w:t>
            </w:r>
          </w:p>
          <w:p>
            <w:pPr>
              <w:pStyle w:val="TableContents"/>
              <w:bidi w:val="0"/>
              <w:spacing w:before="0" w:after="0"/>
              <w:jc w:val="both"/>
              <w:rPr>
                <w:color w:val="7855FA"/>
              </w:rPr>
            </w:pPr>
            <w:r>
              <w:rPr>
                <w:color w:val="7855FA"/>
              </w:rPr>
              <w:t>•</w:t>
            </w:r>
          </w:p>
          <w:p>
            <w:pPr>
              <w:pStyle w:val="TableContents"/>
              <w:bidi w:val="0"/>
              <w:spacing w:before="0" w:after="0"/>
              <w:jc w:val="both"/>
              <w:rPr>
                <w:rFonts w:ascii="Montserrat;sans-serif" w:hAnsi="Montserrat;sans-serif"/>
                <w:color w:val="000000"/>
                <w:sz w:val="18"/>
              </w:rPr>
            </w:pPr>
            <w:r>
              <w:rPr>
                <w:rFonts w:ascii="Montserrat;sans-serif" w:hAnsi="Montserrat;sans-serif"/>
                <w:color w:val="000000"/>
                <w:sz w:val="18"/>
              </w:rPr>
              <w:t>reviewing and approving conflicts of interest of our directors and officers, other than related person transactions reviewed by the Audit Committee.</w:t>
            </w:r>
          </w:p>
        </w:tc>
      </w:tr>
      <w:tr>
        <w:trPr/>
        <w:tc>
          <w:tcPr>
            <w:tcW w:w="1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4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218" w:type="dxa"/>
            <w:vMerge w:val="restart"/>
            <w:tcBorders>
              <w:bottom w:val="single" w:sz="4" w:space="0" w:color="FFFFFF"/>
            </w:tcBorders>
            <w:tcMar>
              <w:top w:w="0" w:type="dxa"/>
              <w:left w:w="0" w:type="dxa"/>
              <w:right w:w="0" w:type="dxa"/>
            </w:tcMar>
            <w:vAlign w:val="center"/>
          </w:tcPr>
          <w:p>
            <w:pPr>
              <w:pStyle w:val="TableContents"/>
              <w:bidi w:val="0"/>
              <w:jc w:val="left"/>
              <w:rPr/>
            </w:pPr>
            <w:r>
              <w:rPr/>
              <w:drawing>
                <wp:inline distT="0" distB="0" distL="0" distR="0">
                  <wp:extent cx="647700" cy="647700"/>
                  <wp:effectExtent l="0" t="0" r="0" b="0"/>
                  <wp:docPr id="116"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05" descr=""/>
                          <pic:cNvPicPr>
                            <a:picLocks noChangeAspect="1" noChangeArrowheads="1"/>
                          </pic:cNvPicPr>
                        </pic:nvPicPr>
                        <pic:blipFill>
                          <a:blip r:embed="rId109"/>
                          <a:stretch>
                            <a:fillRect/>
                          </a:stretch>
                        </pic:blipFill>
                        <pic:spPr bwMode="auto">
                          <a:xfrm>
                            <a:off x="0" y="0"/>
                            <a:ext cx="647700" cy="647700"/>
                          </a:xfrm>
                          <a:prstGeom prst="rect">
                            <a:avLst/>
                          </a:prstGeom>
                        </pic:spPr>
                      </pic:pic>
                    </a:graphicData>
                  </a:graphic>
                </wp:inline>
              </w:drawing>
            </w:r>
          </w:p>
          <w:p>
            <w:pPr>
              <w:pStyle w:val="TableContents"/>
              <w:bidi w:val="0"/>
              <w:jc w:val="left"/>
              <w:rPr/>
            </w:pPr>
            <w:r>
              <w:rPr/>
              <w:t> </w:t>
            </w:r>
          </w:p>
          <w:p>
            <w:pPr>
              <w:pStyle w:val="TableContents"/>
              <w:bidi w:val="0"/>
              <w:jc w:val="left"/>
              <w:rPr>
                <w:rFonts w:ascii="Montserrat;sans-serif" w:hAnsi="Montserrat;sans-serif"/>
                <w:b/>
                <w:color w:val="7855FA"/>
                <w:sz w:val="18"/>
              </w:rPr>
            </w:pPr>
            <w:r>
              <w:rPr>
                <w:rFonts w:ascii="Montserrat;sans-serif" w:hAnsi="Montserrat;sans-serif"/>
                <w:b/>
                <w:color w:val="7855FA"/>
                <w:sz w:val="18"/>
              </w:rPr>
              <w:t>Chair:</w:t>
            </w:r>
          </w:p>
          <w:p>
            <w:pPr>
              <w:pStyle w:val="TableContents"/>
              <w:bidi w:val="0"/>
              <w:spacing w:before="60" w:after="283"/>
              <w:jc w:val="left"/>
              <w:rPr>
                <w:rFonts w:ascii="Montserrat;sans-serif" w:hAnsi="Montserrat;sans-serif"/>
                <w:color w:val="000000"/>
                <w:sz w:val="18"/>
              </w:rPr>
            </w:pPr>
            <w:r>
              <w:rPr>
                <w:rFonts w:ascii="Montserrat;sans-serif" w:hAnsi="Montserrat;sans-serif"/>
                <w:color w:val="000000"/>
                <w:sz w:val="18"/>
              </w:rPr>
              <w:t xml:space="preserve">Gayle Sheppard </w:t>
            </w:r>
          </w:p>
          <w:p>
            <w:pPr>
              <w:pStyle w:val="TableContents"/>
              <w:bidi w:val="0"/>
              <w:spacing w:before="60" w:after="283"/>
              <w:jc w:val="left"/>
              <w:rPr>
                <w:rFonts w:ascii="Montserrat;sans-serif" w:hAnsi="Montserrat;sans-serif"/>
                <w:b/>
                <w:color w:val="7855FA"/>
                <w:sz w:val="18"/>
              </w:rPr>
            </w:pPr>
            <w:r>
              <w:rPr>
                <w:rFonts w:ascii="Montserrat;sans-serif" w:hAnsi="Montserrat;sans-serif"/>
                <w:b/>
                <w:color w:val="7855FA"/>
                <w:sz w:val="18"/>
              </w:rPr>
              <w:t>Other Members:</w:t>
            </w:r>
          </w:p>
          <w:p>
            <w:pPr>
              <w:pStyle w:val="TableContents"/>
              <w:bidi w:val="0"/>
              <w:spacing w:before="60" w:after="283"/>
              <w:jc w:val="left"/>
              <w:rPr>
                <w:color w:val="7855FA"/>
              </w:rPr>
            </w:pPr>
            <w:r>
              <w:rPr>
                <w:color w:val="7855FA"/>
              </w:rPr>
              <w:t>•</w:t>
            </w:r>
          </w:p>
          <w:p>
            <w:pPr>
              <w:pStyle w:val="TableContents"/>
              <w:bidi w:val="0"/>
              <w:spacing w:before="60" w:after="283"/>
              <w:jc w:val="left"/>
              <w:rPr>
                <w:rFonts w:ascii="Montserrat;sans-serif" w:hAnsi="Montserrat;sans-serif"/>
                <w:color w:val="000000"/>
                <w:sz w:val="18"/>
              </w:rPr>
            </w:pPr>
            <w:r>
              <w:rPr>
                <w:rFonts w:ascii="Montserrat;sans-serif" w:hAnsi="Montserrat;sans-serif"/>
                <w:color w:val="000000"/>
                <w:sz w:val="18"/>
              </w:rPr>
              <w:t>Eric K. Brandt</w:t>
            </w:r>
          </w:p>
          <w:p>
            <w:pPr>
              <w:pStyle w:val="TableContents"/>
              <w:bidi w:val="0"/>
              <w:spacing w:before="0" w:after="0"/>
              <w:jc w:val="left"/>
              <w:rPr>
                <w:color w:val="7855FA"/>
              </w:rPr>
            </w:pPr>
            <w:r>
              <w:rPr>
                <w:color w:val="7855FA"/>
              </w:rPr>
              <w:t>•</w:t>
            </w:r>
          </w:p>
          <w:p>
            <w:pPr>
              <w:pStyle w:val="TableContents"/>
              <w:bidi w:val="0"/>
              <w:spacing w:before="0" w:after="0"/>
              <w:jc w:val="left"/>
              <w:rPr>
                <w:rFonts w:ascii="Montserrat;sans-serif" w:hAnsi="Montserrat;sans-serif"/>
                <w:color w:val="000000"/>
                <w:sz w:val="18"/>
              </w:rPr>
            </w:pPr>
            <w:r>
              <w:rPr>
                <w:rFonts w:ascii="Montserrat;sans-serif" w:hAnsi="Montserrat;sans-serif"/>
                <w:color w:val="000000"/>
                <w:sz w:val="18"/>
              </w:rPr>
              <w:t>Greg Lavender</w:t>
            </w:r>
          </w:p>
          <w:p>
            <w:pPr>
              <w:pStyle w:val="TableContents"/>
              <w:bidi w:val="0"/>
              <w:spacing w:before="0" w:after="0"/>
              <w:jc w:val="left"/>
              <w:rPr>
                <w:color w:val="7855FA"/>
              </w:rPr>
            </w:pPr>
            <w:r>
              <w:rPr>
                <w:color w:val="7855FA"/>
              </w:rPr>
              <w:t>•</w:t>
            </w:r>
          </w:p>
          <w:p>
            <w:pPr>
              <w:pStyle w:val="TableContents"/>
              <w:bidi w:val="0"/>
              <w:spacing w:before="0" w:after="0"/>
              <w:jc w:val="left"/>
              <w:rPr>
                <w:rFonts w:ascii="Montserrat;sans-serif" w:hAnsi="Montserrat;sans-serif"/>
                <w:color w:val="000000"/>
                <w:sz w:val="18"/>
              </w:rPr>
            </w:pPr>
            <w:r>
              <w:rPr>
                <w:rFonts w:ascii="Montserrat;sans-serif" w:hAnsi="Montserrat;sans-serif"/>
                <w:color w:val="000000"/>
                <w:sz w:val="18"/>
              </w:rPr>
              <w:t>Mark Templeton</w:t>
            </w:r>
          </w:p>
        </w:tc>
        <w:tc>
          <w:tcPr>
            <w:tcW w:w="146" w:type="dxa"/>
            <w:tcBorders>
              <w:bottom w:val="single" w:sz="4" w:space="0" w:color="000000"/>
            </w:tcBorders>
            <w:tcMar>
              <w:top w:w="0" w:type="dxa"/>
              <w:left w:w="0" w:type="dxa"/>
              <w:right w:w="0" w:type="dxa"/>
            </w:tcMar>
            <w:vAlign w:val="center"/>
          </w:tcPr>
          <w:p>
            <w:pPr>
              <w:pStyle w:val="TableContents"/>
              <w:bidi w:val="0"/>
              <w:spacing w:before="120" w:after="283"/>
              <w:jc w:val="left"/>
              <w:rPr/>
            </w:pPr>
            <w:r>
              <w:rPr/>
              <w:t> </w:t>
            </w:r>
          </w:p>
        </w:tc>
        <w:tc>
          <w:tcPr>
            <w:tcW w:w="8841" w:type="dxa"/>
            <w:tcBorders>
              <w:bottom w:val="single" w:sz="4" w:space="0" w:color="7855FA"/>
            </w:tcBorders>
            <w:tcMar>
              <w:top w:w="0" w:type="dxa"/>
              <w:left w:w="0" w:type="dxa"/>
              <w:right w:w="0" w:type="dxa"/>
            </w:tcMar>
            <w:vAlign w:val="center"/>
          </w:tcPr>
          <w:p>
            <w:pPr>
              <w:pStyle w:val="TableContents"/>
              <w:bidi w:val="0"/>
              <w:spacing w:before="0" w:after="283"/>
              <w:jc w:val="left"/>
              <w:rPr>
                <w:rFonts w:ascii="Montserrat;sans-serif" w:hAnsi="Montserrat;sans-serif"/>
                <w:b/>
                <w:color w:val="7855FA"/>
                <w:sz w:val="22"/>
              </w:rPr>
            </w:pPr>
            <w:r>
              <w:rPr>
                <w:rFonts w:ascii="Montserrat;sans-serif" w:hAnsi="Montserrat;sans-serif"/>
                <w:b/>
                <w:color w:val="7855FA"/>
                <w:sz w:val="22"/>
              </w:rPr>
              <w:t>Security and Privacy Committee</w:t>
            </w:r>
          </w:p>
        </w:tc>
      </w:tr>
      <w:tr>
        <w:trPr/>
        <w:tc>
          <w:tcPr>
            <w:tcW w:w="1218" w:type="dxa"/>
            <w:vMerge w:val="continue"/>
            <w:tcBorders>
              <w:bottom w:val="single" w:sz="4" w:space="0" w:color="FFFFFF"/>
            </w:tcBorders>
            <w:tcMar>
              <w:top w:w="0" w:type="dxa"/>
              <w:left w:w="0" w:type="dxa"/>
              <w:right w:w="0" w:type="dxa"/>
            </w:tcMar>
            <w:vAlign w:val="center"/>
          </w:tcPr>
          <w:p>
            <w:pPr>
              <w:pStyle w:val="Normal"/>
              <w:bidi w:val="0"/>
              <w:jc w:val="left"/>
              <w:rPr/>
            </w:pPr>
            <w:r>
              <w:rPr/>
            </w:r>
          </w:p>
        </w:tc>
        <w:tc>
          <w:tcPr>
            <w:tcW w:w="146" w:type="dxa"/>
            <w:tcBorders>
              <w:bottom w:val="single" w:sz="4" w:space="0" w:color="FFFFFF"/>
            </w:tcBorders>
            <w:tcMar>
              <w:top w:w="0" w:type="dxa"/>
              <w:left w:w="0" w:type="dxa"/>
              <w:right w:w="0" w:type="dxa"/>
            </w:tcMar>
            <w:vAlign w:val="center"/>
          </w:tcPr>
          <w:p>
            <w:pPr>
              <w:pStyle w:val="TableContents"/>
              <w:bidi w:val="0"/>
              <w:spacing w:before="120" w:after="283"/>
              <w:jc w:val="left"/>
              <w:rPr/>
            </w:pPr>
            <w:r>
              <w:rPr/>
              <w:t> </w:t>
            </w:r>
          </w:p>
        </w:tc>
        <w:tc>
          <w:tcPr>
            <w:tcW w:w="8841" w:type="dxa"/>
            <w:tcBorders>
              <w:bottom w:val="single" w:sz="4" w:space="0" w:color="FFFFFF"/>
            </w:tcBorders>
            <w:tcMar>
              <w:top w:w="0" w:type="dxa"/>
              <w:left w:w="0" w:type="dxa"/>
              <w:right w:w="0" w:type="dxa"/>
            </w:tcMar>
            <w:vAlign w:val="center"/>
          </w:tcPr>
          <w:p>
            <w:pPr>
              <w:pStyle w:val="TableContents"/>
              <w:bidi w:val="0"/>
              <w:spacing w:before="60" w:after="283"/>
              <w:jc w:val="both"/>
              <w:rPr>
                <w:rFonts w:ascii="Montserrat;sans-serif" w:hAnsi="Montserrat;sans-serif"/>
                <w:color w:val="000000"/>
                <w:sz w:val="18"/>
              </w:rPr>
            </w:pPr>
            <w:r>
              <w:rPr>
                <w:rFonts w:ascii="Montserrat;sans-serif" w:hAnsi="Montserrat;sans-serif"/>
                <w:color w:val="000000"/>
                <w:sz w:val="18"/>
              </w:rPr>
              <w:t>The Security and Privacy Committee assists our Board in its oversight of our management of technology and information security risks and compliance with data protection and privacy laws. The Security and Privacy Committee is composed of Mr. Brandt, Dr. Lavender, Ms. Sheppard, and Mr. Templeton, each of whom is a non-employee director. Ms. Sheppard has served as the current chair of the Security and Privacy Committee since December 2025. The Security and Privacy Committee is responsible for, among other things:</w:t>
            </w:r>
          </w:p>
          <w:p>
            <w:pPr>
              <w:pStyle w:val="TableContents"/>
              <w:bidi w:val="0"/>
              <w:spacing w:before="60" w:after="283"/>
              <w:jc w:val="both"/>
              <w:rPr>
                <w:color w:val="7855FA"/>
              </w:rPr>
            </w:pPr>
            <w:r>
              <w:rPr>
                <w:color w:val="7855FA"/>
              </w:rPr>
              <w:t>•</w:t>
            </w:r>
          </w:p>
          <w:p>
            <w:pPr>
              <w:pStyle w:val="TableContents"/>
              <w:bidi w:val="0"/>
              <w:spacing w:before="60" w:after="283"/>
              <w:jc w:val="both"/>
              <w:rPr>
                <w:rFonts w:ascii="Montserrat;sans-serif" w:hAnsi="Montserrat;sans-serif"/>
                <w:color w:val="000000"/>
                <w:sz w:val="18"/>
              </w:rPr>
            </w:pPr>
            <w:r>
              <w:rPr>
                <w:rFonts w:ascii="Montserrat;sans-serif" w:hAnsi="Montserrat;sans-serif"/>
                <w:color w:val="000000"/>
                <w:sz w:val="18"/>
              </w:rPr>
              <w:t>overseeing and reviewing technology and information security risk exposures (including cybersecurity, product security, third-party, open-source, software supply chain, and emerging technology risk exposures); the strategy, systems, controls and processes to monitor and control these risk exposures; our performance against defined cybersecurity metrics and risk indicators; and summaries of significant exceptions or waiver trends against our security and privacy policies;</w:t>
            </w:r>
          </w:p>
          <w:p>
            <w:pPr>
              <w:pStyle w:val="TableContents"/>
              <w:bidi w:val="0"/>
              <w:spacing w:before="0" w:after="0"/>
              <w:jc w:val="both"/>
              <w:rPr>
                <w:color w:val="7855FA"/>
              </w:rPr>
            </w:pPr>
            <w:r>
              <w:rPr>
                <w:color w:val="7855FA"/>
              </w:rPr>
              <w:t>•</w:t>
            </w:r>
          </w:p>
          <w:p>
            <w:pPr>
              <w:pStyle w:val="TableContents"/>
              <w:bidi w:val="0"/>
              <w:spacing w:before="0" w:after="0"/>
              <w:jc w:val="both"/>
              <w:rPr>
                <w:rFonts w:ascii="Montserrat;sans-serif" w:hAnsi="Montserrat;sans-serif"/>
                <w:color w:val="000000"/>
                <w:sz w:val="18"/>
              </w:rPr>
            </w:pPr>
            <w:r>
              <w:rPr>
                <w:rFonts w:ascii="Montserrat;sans-serif" w:hAnsi="Montserrat;sans-serif"/>
                <w:color w:val="000000"/>
                <w:sz w:val="18"/>
              </w:rPr>
              <w:t>reviewing incident response, business continuity, and disaster recovery planning and capabilities, including tabletop exercises and plan testing, escalation and communication of material incidents, and remediation of any identified gaps;</w:t>
            </w:r>
          </w:p>
          <w:p>
            <w:pPr>
              <w:pStyle w:val="TableContents"/>
              <w:bidi w:val="0"/>
              <w:spacing w:before="0" w:after="0"/>
              <w:jc w:val="both"/>
              <w:rPr>
                <w:color w:val="7855FA"/>
              </w:rPr>
            </w:pPr>
            <w:r>
              <w:rPr>
                <w:color w:val="7855FA"/>
              </w:rPr>
              <w:t>•</w:t>
            </w:r>
          </w:p>
          <w:p>
            <w:pPr>
              <w:pStyle w:val="TableContents"/>
              <w:bidi w:val="0"/>
              <w:spacing w:before="0" w:after="0"/>
              <w:jc w:val="both"/>
              <w:rPr>
                <w:rFonts w:ascii="Montserrat;sans-serif" w:hAnsi="Montserrat;sans-serif"/>
                <w:color w:val="000000"/>
                <w:sz w:val="18"/>
              </w:rPr>
            </w:pPr>
            <w:r>
              <w:rPr>
                <w:rFonts w:ascii="Montserrat;sans-serif" w:hAnsi="Montserrat;sans-serif"/>
                <w:color w:val="000000"/>
                <w:sz w:val="18"/>
              </w:rPr>
              <w:t>overseeing and reviewing compliance with applicable global artificial intelligence (“AI”), data protection, and privacy laws and regulations; governance frameworks for ethical data usage, responsible AI deployment, and customer trust; management of the data lifecycle; and management of AI models, including visibility, sanctioned use, deployment, and lifecycle management; and</w:t>
            </w:r>
          </w:p>
          <w:p>
            <w:pPr>
              <w:pStyle w:val="TableContents"/>
              <w:bidi w:val="0"/>
              <w:spacing w:before="0" w:after="0"/>
              <w:jc w:val="both"/>
              <w:rPr>
                <w:color w:val="7855FA"/>
              </w:rPr>
            </w:pPr>
            <w:r>
              <w:rPr>
                <w:color w:val="7855FA"/>
              </w:rPr>
              <w:t>•</w:t>
            </w:r>
          </w:p>
          <w:p>
            <w:pPr>
              <w:pStyle w:val="TableContents"/>
              <w:bidi w:val="0"/>
              <w:spacing w:before="0" w:after="0"/>
              <w:jc w:val="both"/>
              <w:rPr>
                <w:rFonts w:ascii="Montserrat;sans-serif" w:hAnsi="Montserrat;sans-serif"/>
                <w:color w:val="000000"/>
                <w:sz w:val="18"/>
              </w:rPr>
            </w:pPr>
            <w:r>
              <w:rPr>
                <w:rFonts w:ascii="Montserrat;sans-serif" w:hAnsi="Montserrat;sans-serif"/>
                <w:color w:val="000000"/>
                <w:sz w:val="18"/>
              </w:rPr>
              <w:t>reviewing the organizational positioning and resourcing of our Chief Information Security Officer and other security, privacy, and product security leaders in the context of supporting effective risk management.</w:t>
            </w:r>
          </w:p>
        </w:tc>
      </w:tr>
    </w:tbl>
    <w:p>
      <w:pPr>
        <w:pStyle w:val="TextBody"/>
        <w:bidi w:val="0"/>
        <w:spacing w:before="240" w:after="283"/>
        <w:jc w:val="left"/>
        <w:rPr>
          <w:rFonts w:ascii="Montserrat;Montserrat Medium;sans-serif" w:hAnsi="Montserrat;Montserrat Medium;sans-serif"/>
          <w:b/>
          <w:color w:val="7855FA"/>
          <w:sz w:val="20"/>
        </w:rPr>
      </w:pPr>
      <w:r>
        <w:rPr>
          <w:rFonts w:ascii="Montserrat;Montserrat Medium;sans-serif" w:hAnsi="Montserrat;Montserrat Medium;sans-serif"/>
          <w:b/>
          <w:color w:val="7855FA"/>
          <w:sz w:val="20"/>
        </w:rPr>
        <w:t>Other Committees</w:t>
      </w:r>
    </w:p>
    <w:p>
      <w:pPr>
        <w:pStyle w:val="TextBody"/>
        <w:bidi w:val="0"/>
        <w:jc w:val="both"/>
        <w:rPr>
          <w:rFonts w:ascii="Montserrat;sans-serif" w:hAnsi="Montserrat;sans-serif"/>
          <w:color w:val="000000"/>
          <w:sz w:val="18"/>
        </w:rPr>
      </w:pPr>
      <w:r>
        <w:rPr>
          <w:rFonts w:ascii="Montserrat;sans-serif" w:hAnsi="Montserrat;sans-serif"/>
          <w:color w:val="000000"/>
          <w:sz w:val="18"/>
        </w:rPr>
        <w:t>Under our Amended and Restated Bylaws, our Board may designate other standing or ad hoc committees to serve at the discretion of our Board from time to time.</w:t>
      </w:r>
    </w:p>
    <w:p>
      <w:pPr>
        <w:pStyle w:val="TextBody"/>
        <w:bidi w:val="0"/>
        <w:spacing w:before="360" w:after="283"/>
        <w:jc w:val="left"/>
        <w:rPr>
          <w:rFonts w:ascii="Montserrat;sans-serif" w:hAnsi="Montserrat;sans-serif"/>
          <w:b/>
          <w:color w:val="000000"/>
          <w:sz w:val="24"/>
        </w:rPr>
      </w:pPr>
      <w:r>
        <w:rPr>
          <w:rFonts w:ascii="Montserrat;sans-serif" w:hAnsi="Montserrat;sans-serif"/>
          <w:b/>
          <w:color w:val="000000"/>
          <w:sz w:val="24"/>
        </w:rPr>
        <w:t>Board and Committee Meetings and Attendance</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Our Board is responsible for the oversight of our company’s management and strategy and for establishing corporate policies. Our Board and its committees meet throughout the year on a regular basis and also hold special meetings and act by written consent from time to time. During fiscal year 2026, our Board met nine times, the Audit Committee met 12 times, the Compensation Committee met nine times, the Nominating and Corporate Governance Committee met eight times, and the Security and Privacy Committee met six times. During fiscal year 2026, each director attended 75% or more of the aggregate of the meetings of our Board and of the committees on which the director served at the time.</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We encourage our directors and nominees for director to attend our annual meeting of stockholders but do not require that they attend. All of our nine then-incumbent directors attended our 2025 annual meeting of stockholders.</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2641"/>
        <w:gridCol w:w="331"/>
      </w:tblGrid>
      <w:tr>
        <w:trPr/>
        <w:tc>
          <w:tcPr>
            <w:tcW w:w="26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117"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06" descr=""/>
                          <pic:cNvPicPr>
                            <a:picLocks noChangeAspect="1" noChangeArrowheads="1"/>
                          </pic:cNvPicPr>
                        </pic:nvPicPr>
                        <pic:blipFill>
                          <a:blip r:embed="rId110"/>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3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17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rFonts w:ascii="Montserrat;sans-serif" w:hAnsi="Montserrat;sans-serif"/>
          <w:color w:val="000000"/>
          <w:sz w:val="13"/>
        </w:rPr>
      </w:pPr>
      <w:r>
        <w:rPr>
          <w:rFonts w:ascii="Montserrat;sans-serif" w:hAnsi="Montserrat;sans-serif"/>
          <w:color w:val="000000"/>
          <w:sz w:val="13"/>
        </w:rPr>
        <w:t>Corporate Governance</w:t>
      </w:r>
    </w:p>
    <w:p>
      <w:pPr>
        <w:pStyle w:val="TextBody"/>
        <w:bidi w:val="0"/>
        <w:spacing w:before="60" w:after="283"/>
        <w:jc w:val="left"/>
        <w:rPr>
          <w:rFonts w:ascii="Montserrat;sans-serif" w:hAnsi="Montserrat;sans-serif"/>
          <w:color w:val="000000"/>
          <w:sz w:val="12"/>
        </w:rPr>
      </w:pPr>
      <w:r>
        <w:rPr>
          <w:rFonts w:ascii="Montserrat;sans-serif" w:hAnsi="Montserrat;sans-serif"/>
          <w:color w:val="000000"/>
          <w:sz w:val="12"/>
        </w:rPr>
        <w:t>Impact Report</w:t>
      </w:r>
    </w:p>
    <w:p>
      <w:pPr>
        <w:pStyle w:val="TextBody"/>
        <w:bidi w:val="0"/>
        <w:jc w:val="left"/>
        <w:rPr/>
      </w:pPr>
      <w:r>
        <w:rPr/>
        <w:t> </w:t>
      </w:r>
    </w:p>
    <w:p>
      <w:pPr>
        <w:pStyle w:val="TextBody"/>
        <w:bidi w:val="0"/>
        <w:jc w:val="left"/>
        <w:rPr/>
      </w:pPr>
      <w:r>
        <w:rPr/>
        <w:t> </w:t>
      </w:r>
    </w:p>
    <w:p>
      <w:pPr>
        <w:pStyle w:val="TextBody"/>
        <w:bidi w:val="0"/>
        <w:jc w:val="left"/>
        <w:rPr>
          <w:rFonts w:ascii="Montserrat;sans-serif" w:hAnsi="Montserrat;sans-serif"/>
          <w:b/>
          <w:color w:val="000000"/>
          <w:sz w:val="24"/>
        </w:rPr>
      </w:pPr>
      <w:r>
        <w:rPr>
          <w:rFonts w:ascii="Montserrat;sans-serif" w:hAnsi="Montserrat;sans-serif"/>
          <w:b/>
          <w:color w:val="000000"/>
          <w:sz w:val="24"/>
        </w:rPr>
        <w:t>Risk Oversight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Our Board oversees an enterprise-wide approach to risk management, which is designed to support the achievement of organizational objectives, including strategic objectives, and to assist management and the Board in identifying, assessing and managing risk. Our Board, as a whole, oversees the Company’s approach to risk management, including review of the risks facing the Company and management’s processes for identifying, assessing and managing those risks. Although our Board is responsible for administering this risk management oversight function, the committees of our Board support our Board in discharging its oversight duties and addressing risks inherent in their respective areas.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Audit Committee considers and discusses our major financial risk exposures and the steps our management has taken to monitor and control these exposures, including guidelines and policies to govern the process by which risk assessment and management is undertaken pertaining to financial, accounting and tax matters. In addition, the Audit Committee oversees our enterprise risk management (“ERM”) framework, including policies and processes around the identification, management, monitoring and mitigation of enterprise-wide risks. One member of the Audit Committee is required to also be a member of the Security and Privacy Committee. The Audit Committee also monitors compliance with legal and regulatory requirements, in addition to oversight of the performance of our internal audit function. The Nominating and Corporate Governance Committee monitors the effectiveness of our corporate governance guidelines. The Compensation Committee assesses and monitors whether our compensation philosophy and practices have the potential to encourage excessive risk-taking and evaluates compensation policies and practices that could mitigate such risks. The Security and Privacy Committee monitors our technology and information security risk exposures (including artificial intelligence, cybersecurity, product security and data protection risk exposures).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At periodic meetings of our Board and its committees, management reports to and seeks guidance from our Board and its committees with respect to the most significant risks that could affect our business, such as legal, security, financial, tax and audit related risks. In addition, management provides the Audit Committee with periodic reports on our compliance programs and investment policy and practices.</w:t>
      </w:r>
    </w:p>
    <w:p>
      <w:pPr>
        <w:pStyle w:val="Heading2"/>
        <w:bidi w:val="0"/>
        <w:spacing w:before="360" w:after="283"/>
        <w:jc w:val="left"/>
        <w:rPr>
          <w:rFonts w:ascii="Montserrat;sans-serif" w:hAnsi="Montserrat;sans-serif"/>
          <w:color w:val="7855FA"/>
          <w:sz w:val="28"/>
        </w:rPr>
      </w:pPr>
      <w:bookmarkStart w:id="7" w:name="impact_report"/>
      <w:bookmarkEnd w:id="7"/>
      <w:r>
        <w:rPr>
          <w:rFonts w:ascii="Montserrat;sans-serif" w:hAnsi="Montserrat;sans-serif"/>
          <w:color w:val="7855FA"/>
          <w:sz w:val="28"/>
        </w:rPr>
        <w:t>Impact Report</w:t>
      </w:r>
    </w:p>
    <w:p>
      <w:pPr>
        <w:pStyle w:val="TextBody"/>
        <w:bidi w:val="0"/>
        <w:spacing w:before="160" w:after="283"/>
        <w:jc w:val="both"/>
        <w:rPr>
          <w:rFonts w:ascii="Montserrat;sans-serif" w:hAnsi="Montserrat;sans-serif"/>
          <w:color w:val="000000"/>
          <w:sz w:val="18"/>
        </w:rPr>
      </w:pPr>
      <w:r>
        <w:rPr>
          <w:rFonts w:ascii="Montserrat;sans-serif" w:hAnsi="Montserrat;sans-serif"/>
          <w:color w:val="000000"/>
          <w:sz w:val="18"/>
        </w:rPr>
        <w:t>Our most recent Impact Report was published in February 2026 and details our initiatives and achievements in resource management, employee experience, community engagement, and corporate governance practices that reflect our commitment to responsible growth and positive impact. We encourage you to read our Impact Report at https://www.nutanix.com/impact-report. The report is not incorporated by reference herein and is not a part of this proxy statement.</w:t>
      </w:r>
    </w:p>
    <w:p>
      <w:pPr>
        <w:pStyle w:val="TextBody"/>
        <w:bidi w:val="0"/>
        <w:jc w:val="both"/>
        <w:rPr/>
      </w:pPr>
      <w:r>
        <w:rPr/>
        <w:t> </w:t>
      </w:r>
    </w:p>
    <w:p>
      <w:pPr>
        <w:pStyle w:val="Heading2"/>
        <w:bidi w:val="0"/>
        <w:spacing w:before="180" w:after="283"/>
        <w:jc w:val="left"/>
        <w:rPr>
          <w:rFonts w:ascii="Montserrat;sans-serif" w:hAnsi="Montserrat;sans-serif"/>
          <w:color w:val="7855FA"/>
          <w:sz w:val="28"/>
        </w:rPr>
      </w:pPr>
      <w:bookmarkStart w:id="8" w:name="nominations_process_and_director_qualifi"/>
      <w:bookmarkEnd w:id="8"/>
      <w:r>
        <w:rPr>
          <w:rFonts w:ascii="Montserrat;sans-serif" w:hAnsi="Montserrat;sans-serif"/>
          <w:color w:val="7855FA"/>
          <w:sz w:val="28"/>
        </w:rPr>
        <w:t>Nominations Process and Director Qualifications</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Nomination to our Board</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Candidates for nomination to our Board are selected by our Board based on the recommendation of the Nominating and Corporate Governance Committee in accordance with the committee’s charter, our policies, our Amended and Restated Certificate of Incorporation and Amended and Restated Bylaws, our corporate governance guidelines, the criteria adopted by our Board regarding director candidate qualifications, and the requirements of applicable law. In recommending candidates for nomination, the Nominating and Corporate Governance Committee considers candidates recommended by directors, officers and employees, as well as candidates properly submitted by stockholders in accordance with our policies and Amended and Restated Bylaws, and evaluates such candidates using substantially the same qualifications and selection criteria. A stockholder that wishes to recommend a candidate for election to our Board may send a letter directed to our Chief Legal Officer at Nutanix, Inc., 1740 Technology Drive, Suite 150, San Jose, California 95110. The letter must include, among other things, the candidate’s name, home and business contact information, detailed biographical data, relevant qualifications, a representation and undertaking from the candidate to serve a full term on our Board if elected, and information regarding any relationships between the candidate and our company. Additional information regarding the process for properly submitting stockholder nominations for candidates for membership on our Board is set forth below under “</w:t>
      </w:r>
      <w:r>
        <w:rPr>
          <w:rFonts w:ascii="Montserrat;sans-serif" w:hAnsi="Montserrat;sans-serif"/>
          <w:color w:val="7855FA"/>
          <w:sz w:val="18"/>
        </w:rPr>
        <w:t>Questions and Answers About the Annual Meeting</w:t>
      </w:r>
      <w:r>
        <w:rPr>
          <w:rFonts w:ascii="Montserrat;sans-serif" w:hAnsi="Montserrat;sans-serif"/>
          <w:color w:val="000000"/>
          <w:sz w:val="18"/>
        </w:rPr>
        <w:t>” and in our Amended and Restated Bylaws.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Evaluations of candidates generally involve a review of background materials, internal discussions, and interviews with selected candidates, as appropriate. In addition, the Nominating and Corporate Governance Committee may engage consultants or third-party search firms to assist in identifying and evaluating potential nominees.</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301"/>
        <w:gridCol w:w="2671"/>
      </w:tblGrid>
      <w:tr>
        <w:trPr/>
        <w:tc>
          <w:tcPr>
            <w:tcW w:w="30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18</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118"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07" descr=""/>
                          <pic:cNvPicPr>
                            <a:picLocks noChangeAspect="1" noChangeArrowheads="1"/>
                          </pic:cNvPicPr>
                        </pic:nvPicPr>
                        <pic:blipFill>
                          <a:blip r:embed="rId111"/>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rFonts w:ascii="Montserrat;sans-serif" w:hAnsi="Montserrat;sans-serif"/>
          <w:color w:val="000000"/>
          <w:sz w:val="13"/>
        </w:rPr>
      </w:pPr>
      <w:r>
        <w:rPr>
          <w:rFonts w:ascii="Montserrat;sans-serif" w:hAnsi="Montserrat;sans-serif"/>
          <w:color w:val="000000"/>
          <w:sz w:val="13"/>
        </w:rPr>
        <w:t>Corporate Governance</w:t>
      </w:r>
    </w:p>
    <w:p>
      <w:pPr>
        <w:pStyle w:val="TextBody"/>
        <w:bidi w:val="0"/>
        <w:spacing w:before="60" w:after="283"/>
        <w:jc w:val="right"/>
        <w:rPr>
          <w:rFonts w:ascii="Montserrat;sans-serif" w:hAnsi="Montserrat;sans-serif"/>
          <w:color w:val="000000"/>
          <w:sz w:val="12"/>
        </w:rPr>
      </w:pPr>
      <w:r>
        <w:rPr>
          <w:rFonts w:ascii="Montserrat;sans-serif" w:hAnsi="Montserrat;sans-serif"/>
          <w:color w:val="000000"/>
          <w:sz w:val="12"/>
        </w:rPr>
        <w:t>Nominations Process and Director Qualifications</w:t>
      </w:r>
    </w:p>
    <w:p>
      <w:pPr>
        <w:pStyle w:val="TextBody"/>
        <w:bidi w:val="0"/>
        <w:jc w:val="right"/>
        <w:rPr/>
      </w:pPr>
      <w:r>
        <w:rPr/>
        <w:t> </w:t>
      </w:r>
    </w:p>
    <w:p>
      <w:pPr>
        <w:pStyle w:val="TextBody"/>
        <w:bidi w:val="0"/>
        <w:jc w:val="right"/>
        <w:rPr/>
      </w:pPr>
      <w:r>
        <w:rPr/>
        <w:t> </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Director Qualifications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With the goal of developing an experienced and highly qualified Board of Directors, the Nominating and Corporate Governance Committee is responsible for developing and recommending to our Board the desired qualifications, expertise, and characteristics of members of our Board, including qualifications that the committee believes must be met by a committee-recommended nominee for membership on our Board and specific qualities or skills that the committee believes are necessary for one or more of the members of our Board to possess.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In addition to the qualifications, qualities, and skills that are necessary to meet U.S. state and federal legal, regulatory and Nasdaq listing requirements and the provisions of our Amended and Restated Certificate of Incorporation, Amended and Restated Bylaws, corporate governance guidelines, and charters of our Board committees, the Nominating and Corporate Governance Committee requires the following minimum qualifications to be satisfied by any nominee for a position on our Board: (i) the highest personal and professional ethics and integrity, (ii) proven achievement and competence in the nominee’s field and the ability to exercise sound business judgment, (iii) skills that are complementary to those of the existing directors, (iv) the ability to assist and support management and make significant contributions to our success, and (v) an understanding of the fiduciary responsibilities that are required of a member of our Board and the commitment of time and energy necessary to diligently carry out those responsibilities. When considering nominees, the Nominating and Corporate Governance Committee may also take into consideration a variety of factors, including character, integrity, judgment, independence, areas of expertise, corporate experience, length of service, potential conflicts of interest, other commitments, diversity with respect to professional and personal backgrounds and education, as well as Board size and composition and the needs of our Board and its committees. Our Board and the Nominating and Corporate Governance Committee believe that an experienced and highly qualified board of directors with diverse perspectives supports effective decision-making and the continued success of our company. Accordingly, the Nominating and Corporate Governance Committee seeks to recommend candidates whose skills, experience, and other individual qualities and attributes contribute to the total mix of viewpoints and experience represented on our Board. The Nominating and Corporate Governance Committee evaluates these factors, among others, and does not assign any particular weighting or priority to any of the factors.</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The brief biographical description of each director set forth in “</w:t>
      </w:r>
      <w:r>
        <w:rPr>
          <w:rFonts w:ascii="Montserrat;sans-serif" w:hAnsi="Montserrat;sans-serif"/>
          <w:color w:val="7855FA"/>
          <w:sz w:val="18"/>
        </w:rPr>
        <w:t>Proposal 1 – Election of Directors</w:t>
      </w:r>
      <w:r>
        <w:rPr>
          <w:rFonts w:ascii="Montserrat;sans-serif" w:hAnsi="Montserrat;sans-serif"/>
          <w:color w:val="000000"/>
          <w:sz w:val="18"/>
        </w:rPr>
        <w:t>” includes the primary individual experience, qualifications, attributes, and skills of each of our directors that led to the conclusion that each director should serve as a member of our Board at this time.</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2641"/>
        <w:gridCol w:w="331"/>
      </w:tblGrid>
      <w:tr>
        <w:trPr/>
        <w:tc>
          <w:tcPr>
            <w:tcW w:w="26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119"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08" descr=""/>
                          <pic:cNvPicPr>
                            <a:picLocks noChangeAspect="1" noChangeArrowheads="1"/>
                          </pic:cNvPicPr>
                        </pic:nvPicPr>
                        <pic:blipFill>
                          <a:blip r:embed="rId112"/>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3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19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rFonts w:ascii="Montserrat;sans-serif" w:hAnsi="Montserrat;sans-serif"/>
          <w:color w:val="000000"/>
          <w:sz w:val="13"/>
        </w:rPr>
      </w:pPr>
      <w:r>
        <w:rPr>
          <w:rFonts w:ascii="Montserrat;sans-serif" w:hAnsi="Montserrat;sans-serif"/>
          <w:color w:val="000000"/>
          <w:sz w:val="13"/>
        </w:rPr>
        <w:t>Corporate Governance</w:t>
      </w:r>
    </w:p>
    <w:p>
      <w:pPr>
        <w:pStyle w:val="TextBody"/>
        <w:bidi w:val="0"/>
        <w:spacing w:before="60" w:after="283"/>
        <w:jc w:val="right"/>
        <w:rPr>
          <w:rFonts w:ascii="Montserrat;sans-serif" w:hAnsi="Montserrat;sans-serif"/>
          <w:color w:val="000000"/>
          <w:sz w:val="12"/>
        </w:rPr>
      </w:pPr>
      <w:r>
        <w:rPr>
          <w:rFonts w:ascii="Montserrat;sans-serif" w:hAnsi="Montserrat;sans-serif"/>
          <w:color w:val="000000"/>
          <w:sz w:val="12"/>
        </w:rPr>
        <w:t>Proposal 1: Election of Directors</w:t>
      </w:r>
    </w:p>
    <w:p>
      <w:pPr>
        <w:pStyle w:val="TextBody"/>
        <w:bidi w:val="0"/>
        <w:jc w:val="right"/>
        <w:rPr/>
      </w:pPr>
      <w:r>
        <w:rPr/>
        <w:t> </w:t>
      </w:r>
    </w:p>
    <w:p>
      <w:pPr>
        <w:pStyle w:val="TextBody"/>
        <w:bidi w:val="0"/>
        <w:jc w:val="right"/>
        <w:rPr/>
      </w:pPr>
      <w:r>
        <w:rPr/>
        <w:t> </w:t>
      </w:r>
    </w:p>
    <w:p>
      <w:pPr>
        <w:pStyle w:val="Heading2"/>
        <w:bidi w:val="0"/>
        <w:jc w:val="left"/>
        <w:rPr>
          <w:rFonts w:ascii="Montserrat;sans-serif" w:hAnsi="Montserrat;sans-serif"/>
          <w:color w:val="7855FA"/>
          <w:sz w:val="28"/>
        </w:rPr>
      </w:pPr>
      <w:bookmarkStart w:id="9" w:name="proposal_1_election_of_directors"/>
      <w:bookmarkEnd w:id="9"/>
      <w:r>
        <w:rPr>
          <w:rFonts w:ascii="Montserrat;sans-serif" w:hAnsi="Montserrat;sans-serif"/>
          <w:color w:val="7855FA"/>
          <w:sz w:val="28"/>
        </w:rPr>
        <w:t>Proposal 1: Election of Directors</w:t>
      </w:r>
    </w:p>
    <w:p>
      <w:pPr>
        <w:pStyle w:val="TextBody"/>
        <w:bidi w:val="0"/>
        <w:jc w:val="both"/>
        <w:rPr/>
      </w:pPr>
      <w:r>
        <w:rPr/>
        <w:t> </w:t>
      </w:r>
    </w:p>
    <w:tbl>
      <w:tblPr>
        <w:tblW w:w="8131" w:type="dxa"/>
        <w:jc w:val="left"/>
        <w:tblInd w:w="0" w:type="dxa"/>
        <w:tblLayout w:type="fixed"/>
        <w:tblCellMar>
          <w:top w:w="28" w:type="dxa"/>
          <w:left w:w="28" w:type="dxa"/>
          <w:bottom w:w="28" w:type="dxa"/>
          <w:right w:w="28" w:type="dxa"/>
        </w:tblCellMar>
      </w:tblPr>
      <w:tblGrid>
        <w:gridCol w:w="356"/>
        <w:gridCol w:w="109"/>
        <w:gridCol w:w="7666"/>
      </w:tblGrid>
      <w:tr>
        <w:trPr/>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6" w:type="dxa"/>
            <w:tcBorders/>
            <w:vAlign w:val="center"/>
          </w:tcPr>
          <w:p>
            <w:pPr>
              <w:pStyle w:val="TableContents"/>
              <w:bidi w:val="0"/>
              <w:spacing w:before="0" w:after="283"/>
              <w:jc w:val="left"/>
              <w:rPr>
                <w:sz w:val="4"/>
                <w:szCs w:val="4"/>
              </w:rPr>
            </w:pPr>
            <w:r>
              <w:rPr>
                <w:sz w:val="4"/>
                <w:szCs w:val="4"/>
              </w:rPr>
            </w:r>
          </w:p>
        </w:tc>
      </w:tr>
      <w:tr>
        <w:trPr/>
        <w:tc>
          <w:tcPr>
            <w:tcW w:w="356" w:type="dxa"/>
            <w:tcBorders/>
            <w:shd w:fill="785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785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6" w:type="dxa"/>
            <w:tcBorders/>
            <w:shd w:fill="785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 w:type="dxa"/>
            <w:tcBorders/>
            <w:shd w:fill="7855F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61925" cy="161925"/>
                  <wp:effectExtent l="0" t="0" r="0" b="0"/>
                  <wp:docPr id="120"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09" descr=""/>
                          <pic:cNvPicPr>
                            <a:picLocks noChangeAspect="1" noChangeArrowheads="1"/>
                          </pic:cNvPicPr>
                        </pic:nvPicPr>
                        <pic:blipFill>
                          <a:blip r:embed="rId113"/>
                          <a:stretch>
                            <a:fillRect/>
                          </a:stretch>
                        </pic:blipFill>
                        <pic:spPr bwMode="auto">
                          <a:xfrm>
                            <a:off x="0" y="0"/>
                            <a:ext cx="161925" cy="161925"/>
                          </a:xfrm>
                          <a:prstGeom prst="rect">
                            <a:avLst/>
                          </a:prstGeom>
                        </pic:spPr>
                      </pic:pic>
                    </a:graphicData>
                  </a:graphic>
                </wp:inline>
              </w:drawing>
            </w:r>
          </w:p>
        </w:tc>
        <w:tc>
          <w:tcPr>
            <w:tcW w:w="109" w:type="dxa"/>
            <w:tcBorders/>
            <w:shd w:fill="785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6" w:type="dxa"/>
            <w:tcBorders/>
            <w:shd w:fill="7855FA" w:val="clear"/>
            <w:tcMar>
              <w:top w:w="0" w:type="dxa"/>
              <w:left w:w="0" w:type="dxa"/>
              <w:bottom w:w="0" w:type="dxa"/>
              <w:right w:w="0" w:type="dxa"/>
            </w:tcMar>
            <w:vAlign w:val="center"/>
          </w:tcPr>
          <w:p>
            <w:pPr>
              <w:pStyle w:val="TableContents"/>
              <w:bidi w:val="0"/>
              <w:spacing w:before="0" w:after="283"/>
              <w:jc w:val="left"/>
              <w:rPr>
                <w:rFonts w:ascii="Montserrat" w:hAnsi="Montserrat"/>
                <w:sz w:val="18"/>
              </w:rPr>
            </w:pPr>
            <w:r>
              <w:rPr>
                <w:rFonts w:ascii="Montserrat;Montserrat Medium;sans-serif" w:hAnsi="Montserrat;Montserrat Medium;sans-serif"/>
                <w:b/>
                <w:color w:val="FFFFFF"/>
                <w:sz w:val="18"/>
              </w:rPr>
              <w:t>Our Board Recommends a</w:t>
            </w:r>
            <w:r>
              <w:rPr>
                <w:rFonts w:ascii="Montserrat" w:hAnsi="Montserrat"/>
                <w:color w:val="FFFFFF"/>
                <w:sz w:val="18"/>
              </w:rPr>
              <w:t xml:space="preserve"> </w:t>
            </w:r>
            <w:r>
              <w:rPr>
                <w:rFonts w:ascii="Montserrat;sans-serif" w:hAnsi="Montserrat;sans-serif"/>
                <w:b/>
                <w:color w:val="FFFFFF"/>
                <w:sz w:val="18"/>
              </w:rPr>
              <w:t>VOTE FOR</w:t>
            </w:r>
            <w:r>
              <w:rPr>
                <w:rFonts w:ascii="Montserrat" w:hAnsi="Montserrat"/>
                <w:color w:val="FFFFFF"/>
                <w:sz w:val="18"/>
              </w:rPr>
              <w:t> </w:t>
            </w:r>
            <w:r>
              <w:rPr>
                <w:rFonts w:ascii="Montserrat;Montserrat Medium;sans-serif" w:hAnsi="Montserrat;Montserrat Medium;sans-serif"/>
                <w:b/>
                <w:color w:val="FFFFFF"/>
                <w:sz w:val="18"/>
              </w:rPr>
              <w:t>Each of the Eight Director Nominees.</w:t>
            </w:r>
          </w:p>
        </w:tc>
      </w:tr>
      <w:tr>
        <w:trPr/>
        <w:tc>
          <w:tcPr>
            <w:tcW w:w="356" w:type="dxa"/>
            <w:tcBorders/>
            <w:shd w:fill="785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785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6" w:type="dxa"/>
            <w:tcBorders/>
            <w:shd w:fill="785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rFonts w:ascii="Montserrat;sans-serif" w:hAnsi="Montserrat;sans-serif"/>
          <w:color w:val="000000"/>
          <w:sz w:val="18"/>
        </w:rPr>
      </w:pPr>
      <w:r>
        <w:rPr>
          <w:rFonts w:ascii="Montserrat;sans-serif" w:hAnsi="Montserrat;sans-serif"/>
          <w:color w:val="000000"/>
          <w:sz w:val="18"/>
        </w:rPr>
        <w:t>Our Board currently consists of nine members whose terms will expire at the Annual Meeting unless re-elected: Eric K. Brandt, Craig Conway, Max de Groen, Virginia Gambale, Steven J. Gomo, Greg Lavender, Rajiv Ramaswami, Gayle Sheppard, and Mark Templeton. Reflecting our commitment to strong corporate governance and our responsiveness to stockholder feedback, our Board structure has been fully declassified as of the 2025 annual meeting of stockholders. As a result, all directors stand for election to one-year terms, rather than the three-year terms that applied prior to the declassification of our Board.</w:t>
      </w:r>
    </w:p>
    <w:p>
      <w:pPr>
        <w:pStyle w:val="TextBody"/>
        <w:bidi w:val="0"/>
        <w:spacing w:before="120" w:after="283"/>
        <w:jc w:val="both"/>
        <w:rPr>
          <w:rFonts w:ascii="Montserrat" w:hAnsi="Montserrat"/>
          <w:sz w:val="18"/>
        </w:rPr>
      </w:pPr>
      <w:r>
        <w:rPr>
          <w:rFonts w:ascii="Montserrat;sans-serif" w:hAnsi="Montserrat;sans-serif"/>
          <w:color w:val="000000"/>
          <w:sz w:val="18"/>
        </w:rPr>
        <w:t>Mr. Brandt, Mr. de Groen, Ms. Gambale, Mr. Gomo, Dr. Lavender, Mr. Ramaswami, Ms. Sheppard and Mr. Templeton have each been nominated to continue to serve as directors for a one-year term. Each nominee has agreed to stand for re-election at the Annual Meeting. Our management has no reason to believe that Mr. Brandt, Mr. de Groen, Ms. Gambale, Mr. Gomo, Dr. Lavender, Mr. Ramaswami, Ms. Sheppard, or Mr. Templeton will be unable to serve as directors. After nine years of service on our Board, Mr. Conway notified us of his decision not to stand for re-election. We thank Mr. Conway for his many years of excellent service on the Board and his many contributions to the Company</w:t>
      </w:r>
      <w:r>
        <w:rPr>
          <w:rFonts w:ascii="Arial" w:hAnsi="Arial"/>
          <w:color w:val="000000"/>
          <w:sz w:val="20"/>
        </w:rPr>
        <w:t xml:space="preserve">. </w:t>
      </w:r>
      <w:r>
        <w:rPr>
          <w:rFonts w:ascii="Montserrat;sans-serif" w:hAnsi="Montserrat;sans-serif"/>
          <w:color w:val="000000"/>
          <w:sz w:val="18"/>
        </w:rPr>
        <w:t>Mr. Conway will continue to serve on our Board until the Annual Meeting, at which time our authorized number of directors will be reduced from nine to eight.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 xml:space="preserve">If elected at the Annual Meeting, each nominee would continue to serve as a director until the 2027 annual meeting of stockholders and until his or her successor has been duly elected, or if sooner, until his or her death, resignation or removal. </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Vote Required</w:t>
      </w:r>
    </w:p>
    <w:p>
      <w:pPr>
        <w:pStyle w:val="TextBody"/>
        <w:bidi w:val="0"/>
        <w:spacing w:before="120" w:after="283"/>
        <w:jc w:val="both"/>
        <w:rPr>
          <w:rFonts w:ascii="Montserrat" w:hAnsi="Montserrat"/>
          <w:sz w:val="18"/>
        </w:rPr>
      </w:pPr>
      <w:r>
        <w:rPr>
          <w:rFonts w:ascii="Montserrat;sans-serif" w:hAnsi="Montserrat;sans-serif"/>
          <w:color w:val="000000"/>
          <w:sz w:val="18"/>
        </w:rPr>
        <w:t xml:space="preserve">Directors are elected by the affirmative vote of a majority of the votes cast, meaning that the number of shares voted </w:t>
      </w:r>
      <w:r>
        <w:rPr>
          <w:rFonts w:ascii="Montserrat;Montserrat Medium;sans-serif" w:hAnsi="Montserrat;Montserrat Medium;sans-serif"/>
          <w:b/>
          <w:color w:val="000000"/>
          <w:sz w:val="18"/>
        </w:rPr>
        <w:t>FOR</w:t>
      </w:r>
      <w:r>
        <w:rPr>
          <w:rFonts w:ascii="Montserrat" w:hAnsi="Montserrat"/>
          <w:color w:val="000000"/>
          <w:sz w:val="18"/>
        </w:rPr>
        <w:t xml:space="preserve"> </w:t>
      </w:r>
      <w:r>
        <w:rPr>
          <w:rFonts w:ascii="Montserrat;sans-serif" w:hAnsi="Montserrat;sans-serif"/>
          <w:color w:val="000000"/>
          <w:sz w:val="18"/>
        </w:rPr>
        <w:t xml:space="preserve">a director’s election exceeds the number of votes cast </w:t>
      </w:r>
      <w:r>
        <w:rPr>
          <w:rFonts w:ascii="Montserrat;Montserrat Medium;sans-serif" w:hAnsi="Montserrat;Montserrat Medium;sans-serif"/>
          <w:b/>
          <w:color w:val="000000"/>
          <w:sz w:val="18"/>
        </w:rPr>
        <w:t>AGAINST</w:t>
      </w:r>
      <w:r>
        <w:rPr>
          <w:rFonts w:ascii="Montserrat" w:hAnsi="Montserrat"/>
          <w:color w:val="000000"/>
          <w:sz w:val="18"/>
        </w:rPr>
        <w:t xml:space="preserve"> </w:t>
      </w:r>
      <w:r>
        <w:rPr>
          <w:rFonts w:ascii="Montserrat;sans-serif" w:hAnsi="Montserrat;sans-serif"/>
          <w:color w:val="000000"/>
          <w:sz w:val="18"/>
        </w:rPr>
        <w:t>such director’s election. Abstentions and broker non-votes have no legal effect on the outcome. Shares represented by executed proxies will be voted, if authority to do so is not withheld, for the election of the nominees named above. If any nominee becomes unavailable for election as a result of an unexpected occurrence, shares that would have been voted for that nominee will instead be voted for the election of a substitute nominee proposed by us. Our Amended and Restated Bylaws provide for majority voting in uncontested director elections and our corporate governance guidelines require directors to tender an irrevocable offer to resign if they do not receive a majority vote and our Board to accept such offer to resign absent a compelling reason.</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Nominees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Nominating and Corporate Governance Committee seeks to assemble a board of directors that, as a group, can best perpetuate the success of the business and represent stockholder interests through the exercise of sound judgment, drawing on a wide range of backgrounds and experience in various areas. To that end, the committee has identified and evaluated nominees in the broader context of our Board’s overall composition, with the goal of recruiting members who complement and strengthen the skills of other members and who also exhibit integrity, collegiality, sound business judgment, and other qualities deemed critical to effective functioning of our Board.</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Set forth below is biographical information for the nominees. This includes information regarding each director’s experience, qualifications, attributes, or skills that led our Board to recommend him or her for Board service.</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301"/>
        <w:gridCol w:w="2671"/>
      </w:tblGrid>
      <w:tr>
        <w:trPr/>
        <w:tc>
          <w:tcPr>
            <w:tcW w:w="30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20</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121"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0" descr=""/>
                          <pic:cNvPicPr>
                            <a:picLocks noChangeAspect="1" noChangeArrowheads="1"/>
                          </pic:cNvPicPr>
                        </pic:nvPicPr>
                        <pic:blipFill>
                          <a:blip r:embed="rId114"/>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rFonts w:ascii="Montserrat;sans-serif" w:hAnsi="Montserrat;sans-serif"/>
          <w:color w:val="000000"/>
          <w:sz w:val="13"/>
        </w:rPr>
      </w:pPr>
      <w:r>
        <w:rPr>
          <w:rFonts w:ascii="Montserrat;sans-serif" w:hAnsi="Montserrat;sans-serif"/>
          <w:color w:val="000000"/>
          <w:sz w:val="13"/>
        </w:rPr>
        <w:t>Corporate Governance</w:t>
      </w:r>
    </w:p>
    <w:p>
      <w:pPr>
        <w:pStyle w:val="TextBody"/>
        <w:bidi w:val="0"/>
        <w:spacing w:before="60" w:after="283"/>
        <w:jc w:val="right"/>
        <w:rPr>
          <w:rFonts w:ascii="Montserrat;sans-serif" w:hAnsi="Montserrat;sans-serif"/>
          <w:color w:val="000000"/>
          <w:sz w:val="12"/>
        </w:rPr>
      </w:pPr>
      <w:r>
        <w:rPr>
          <w:rFonts w:ascii="Montserrat;sans-serif" w:hAnsi="Montserrat;sans-serif"/>
          <w:color w:val="000000"/>
          <w:sz w:val="12"/>
        </w:rPr>
        <w:t>Proposal 1: Election of Directors</w:t>
      </w:r>
    </w:p>
    <w:p>
      <w:pPr>
        <w:pStyle w:val="TextBody"/>
        <w:bidi w:val="0"/>
        <w:jc w:val="right"/>
        <w:rPr/>
      </w:pPr>
      <w:r>
        <w:rPr/>
        <w:t> </w:t>
      </w:r>
    </w:p>
    <w:p>
      <w:pPr>
        <w:pStyle w:val="TextBody"/>
        <w:bidi w:val="0"/>
        <w:jc w:val="right"/>
        <w:rPr/>
      </w:pPr>
      <w:r>
        <w:rPr/>
        <w:t> </w:t>
      </w:r>
    </w:p>
    <w:p>
      <w:pPr>
        <w:pStyle w:val="TextBody"/>
        <w:bidi w:val="0"/>
        <w:jc w:val="left"/>
        <w:rPr>
          <w:rFonts w:ascii="Montserrat;sans-serif" w:hAnsi="Montserrat;sans-serif"/>
          <w:b/>
          <w:color w:val="000000"/>
          <w:sz w:val="22"/>
        </w:rPr>
      </w:pPr>
      <w:r>
        <w:rPr>
          <w:rFonts w:ascii="Montserrat;sans-serif" w:hAnsi="Montserrat;sans-serif"/>
          <w:b/>
          <w:color w:val="000000"/>
          <w:sz w:val="22"/>
        </w:rPr>
        <w:t>Nominees for Election at the Annual Meeting</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930"/>
        <w:gridCol w:w="3068"/>
        <w:gridCol w:w="5207"/>
      </w:tblGrid>
      <w:tr>
        <w:trPr/>
        <w:tc>
          <w:tcPr>
            <w:tcW w:w="1930" w:type="dxa"/>
            <w:tcBorders/>
            <w:vAlign w:val="center"/>
          </w:tcPr>
          <w:p>
            <w:pPr>
              <w:pStyle w:val="TableContents"/>
              <w:bidi w:val="0"/>
              <w:spacing w:before="0" w:after="283"/>
              <w:jc w:val="left"/>
              <w:rPr>
                <w:sz w:val="4"/>
                <w:szCs w:val="4"/>
              </w:rPr>
            </w:pPr>
            <w:r>
              <w:rPr>
                <w:sz w:val="4"/>
                <w:szCs w:val="4"/>
              </w:rPr>
            </w:r>
          </w:p>
        </w:tc>
        <w:tc>
          <w:tcPr>
            <w:tcW w:w="3068" w:type="dxa"/>
            <w:tcBorders/>
            <w:vAlign w:val="center"/>
          </w:tcPr>
          <w:p>
            <w:pPr>
              <w:pStyle w:val="TableContents"/>
              <w:bidi w:val="0"/>
              <w:spacing w:before="0" w:after="283"/>
              <w:jc w:val="left"/>
              <w:rPr>
                <w:sz w:val="4"/>
                <w:szCs w:val="4"/>
              </w:rPr>
            </w:pPr>
            <w:r>
              <w:rPr>
                <w:sz w:val="4"/>
                <w:szCs w:val="4"/>
              </w:rPr>
            </w:r>
          </w:p>
        </w:tc>
        <w:tc>
          <w:tcPr>
            <w:tcW w:w="5207" w:type="dxa"/>
            <w:tcBorders/>
            <w:vAlign w:val="center"/>
          </w:tcPr>
          <w:p>
            <w:pPr>
              <w:pStyle w:val="TableContents"/>
              <w:bidi w:val="0"/>
              <w:spacing w:before="0" w:after="283"/>
              <w:jc w:val="left"/>
              <w:rPr>
                <w:sz w:val="4"/>
                <w:szCs w:val="4"/>
              </w:rPr>
            </w:pPr>
            <w:r>
              <w:rPr>
                <w:sz w:val="4"/>
                <w:szCs w:val="4"/>
              </w:rPr>
            </w:r>
          </w:p>
        </w:tc>
      </w:tr>
      <w:tr>
        <w:trPr/>
        <w:tc>
          <w:tcPr>
            <w:tcW w:w="1930" w:type="dxa"/>
            <w:vMerge w:val="restart"/>
            <w:tcBorders>
              <w:bottom w:val="single" w:sz="4" w:space="0" w:color="7855FA"/>
            </w:tcBorders>
            <w:tcMar>
              <w:top w:w="0" w:type="dxa"/>
              <w:left w:w="0" w:type="dxa"/>
              <w:right w:w="0" w:type="dxa"/>
            </w:tcMar>
            <w:vAlign w:val="center"/>
          </w:tcPr>
          <w:p>
            <w:pPr>
              <w:pStyle w:val="TableContents"/>
              <w:bidi w:val="0"/>
              <w:spacing w:before="120" w:after="283"/>
              <w:jc w:val="left"/>
              <w:rPr/>
            </w:pPr>
            <w:r>
              <w:rPr/>
              <w:drawing>
                <wp:inline distT="0" distB="0" distL="0" distR="0">
                  <wp:extent cx="638175" cy="657225"/>
                  <wp:effectExtent l="0" t="0" r="0" b="0"/>
                  <wp:docPr id="122"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1" descr=""/>
                          <pic:cNvPicPr>
                            <a:picLocks noChangeAspect="1" noChangeArrowheads="1"/>
                          </pic:cNvPicPr>
                        </pic:nvPicPr>
                        <pic:blipFill>
                          <a:blip r:embed="rId115"/>
                          <a:stretch>
                            <a:fillRect/>
                          </a:stretch>
                        </pic:blipFill>
                        <pic:spPr bwMode="auto">
                          <a:xfrm>
                            <a:off x="0" y="0"/>
                            <a:ext cx="638175" cy="657225"/>
                          </a:xfrm>
                          <a:prstGeom prst="rect">
                            <a:avLst/>
                          </a:prstGeom>
                        </pic:spPr>
                      </pic:pic>
                    </a:graphicData>
                  </a:graphic>
                </wp:inline>
              </w:drawing>
            </w:r>
          </w:p>
        </w:tc>
        <w:tc>
          <w:tcPr>
            <w:tcW w:w="3068" w:type="dxa"/>
            <w:tcBorders>
              <w:bottom w:val="single" w:sz="4" w:space="0" w:color="7855FA"/>
            </w:tcBorders>
            <w:tcMar>
              <w:top w:w="0" w:type="dxa"/>
              <w:left w:w="0" w:type="dxa"/>
              <w:right w:w="0" w:type="dxa"/>
            </w:tcMar>
            <w:vAlign w:val="center"/>
          </w:tcPr>
          <w:p>
            <w:pPr>
              <w:pStyle w:val="TableContents"/>
              <w:bidi w:val="0"/>
              <w:spacing w:before="0" w:after="60"/>
              <w:jc w:val="left"/>
              <w:rPr>
                <w:rFonts w:ascii="Montserrat;sans-serif" w:hAnsi="Montserrat;sans-serif"/>
                <w:b/>
                <w:color w:val="7855FA"/>
                <w:sz w:val="20"/>
              </w:rPr>
            </w:pPr>
            <w:r>
              <w:rPr>
                <w:rFonts w:ascii="Montserrat;sans-serif" w:hAnsi="Montserrat;sans-serif"/>
                <w:b/>
                <w:color w:val="7855FA"/>
                <w:sz w:val="20"/>
              </w:rPr>
              <w:t>Eric K. Brandt</w:t>
            </w:r>
          </w:p>
        </w:tc>
        <w:tc>
          <w:tcPr>
            <w:tcW w:w="5207" w:type="dxa"/>
            <w:tcBorders>
              <w:bottom w:val="single" w:sz="4" w:space="0" w:color="7855F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vMerge w:val="continue"/>
            <w:tcBorders>
              <w:bottom w:val="single" w:sz="4" w:space="0" w:color="7855FA"/>
            </w:tcBorders>
            <w:tcMar>
              <w:top w:w="0" w:type="dxa"/>
              <w:left w:w="0" w:type="dxa"/>
              <w:right w:w="0" w:type="dxa"/>
            </w:tcMar>
            <w:vAlign w:val="center"/>
          </w:tcPr>
          <w:p>
            <w:pPr>
              <w:pStyle w:val="Normal"/>
              <w:bidi w:val="0"/>
              <w:jc w:val="left"/>
              <w:rPr/>
            </w:pPr>
            <w:r>
              <w:rPr/>
            </w:r>
          </w:p>
        </w:tc>
        <w:tc>
          <w:tcPr>
            <w:tcW w:w="3068" w:type="dxa"/>
            <w:tcBorders>
              <w:bottom w:val="single" w:sz="4" w:space="0" w:color="7855FA"/>
            </w:tcBorders>
            <w:tcMar>
              <w:top w:w="0" w:type="dxa"/>
              <w:left w:w="0" w:type="dxa"/>
              <w:right w:w="0" w:type="dxa"/>
            </w:tcMar>
            <w:vAlign w:val="center"/>
          </w:tcPr>
          <w:p>
            <w:pPr>
              <w:pStyle w:val="TableContents"/>
              <w:bidi w:val="0"/>
              <w:spacing w:before="120" w:after="283"/>
              <w:jc w:val="left"/>
              <w:rPr>
                <w:rFonts w:ascii="Montserrat Medium;sans-serif" w:hAnsi="Montserrat Medium;sans-serif"/>
                <w:sz w:val="18"/>
              </w:rPr>
            </w:pPr>
            <w:r>
              <w:rPr>
                <w:rFonts w:ascii="Montserrat;Montserrat Medium;sans-serif" w:hAnsi="Montserrat;Montserrat Medium;sans-serif"/>
                <w:b/>
                <w:color w:val="7855FA"/>
                <w:sz w:val="18"/>
              </w:rPr>
              <w:t>Age:</w:t>
            </w:r>
            <w:r>
              <w:rPr>
                <w:rFonts w:ascii="Montserrat Medium;sans-serif" w:hAnsi="Montserrat Medium;sans-serif"/>
                <w:color w:val="6C60A5"/>
                <w:sz w:val="18"/>
              </w:rPr>
              <w:t xml:space="preserve"> </w:t>
            </w:r>
            <w:r>
              <w:rPr>
                <w:rFonts w:ascii="Montserrat;Montserrat Medium;sans-serif" w:hAnsi="Montserrat;Montserrat Medium;sans-serif"/>
                <w:b/>
                <w:color w:val="000000"/>
                <w:sz w:val="18"/>
              </w:rPr>
              <w:t>64</w:t>
            </w:r>
          </w:p>
          <w:p>
            <w:pPr>
              <w:pStyle w:val="TableContents"/>
              <w:bidi w:val="0"/>
              <w:spacing w:before="60" w:after="283"/>
              <w:jc w:val="left"/>
              <w:rPr>
                <w:rFonts w:ascii="Montserrat Medium;sans-serif" w:hAnsi="Montserrat Medium;sans-serif"/>
                <w:sz w:val="18"/>
              </w:rPr>
            </w:pPr>
            <w:r>
              <w:rPr>
                <w:rFonts w:ascii="Montserrat;Montserrat Medium;sans-serif" w:hAnsi="Montserrat;Montserrat Medium;sans-serif"/>
                <w:b/>
                <w:color w:val="7855FA"/>
                <w:sz w:val="18"/>
              </w:rPr>
              <w:t>Director since:</w:t>
            </w:r>
            <w:r>
              <w:rPr>
                <w:rFonts w:ascii="Montserrat Medium;sans-serif" w:hAnsi="Montserrat Medium;sans-serif"/>
                <w:color w:val="6C60A5"/>
                <w:sz w:val="18"/>
              </w:rPr>
              <w:t xml:space="preserve"> </w:t>
            </w:r>
            <w:r>
              <w:rPr>
                <w:rFonts w:ascii="Montserrat;Montserrat Medium;sans-serif" w:hAnsi="Montserrat;Montserrat Medium;sans-serif"/>
                <w:b/>
                <w:color w:val="000000"/>
                <w:sz w:val="18"/>
              </w:rPr>
              <w:t>2025</w:t>
            </w:r>
          </w:p>
          <w:p>
            <w:pPr>
              <w:pStyle w:val="TableContents"/>
              <w:bidi w:val="0"/>
              <w:spacing w:before="120" w:after="283"/>
              <w:jc w:val="left"/>
              <w:rPr>
                <w:rFonts w:ascii="Montserrat;sans-serif" w:hAnsi="Montserrat;sans-serif"/>
                <w:b/>
                <w:color w:val="000000"/>
                <w:sz w:val="18"/>
              </w:rPr>
            </w:pPr>
            <w:r>
              <w:rPr>
                <w:rFonts w:ascii="Montserrat;sans-serif" w:hAnsi="Montserrat;sans-serif"/>
                <w:b/>
                <w:color w:val="000000"/>
                <w:sz w:val="18"/>
              </w:rPr>
              <w:t>Independent</w:t>
            </w:r>
          </w:p>
          <w:p>
            <w:pPr>
              <w:pStyle w:val="TableContents"/>
              <w:bidi w:val="0"/>
              <w:spacing w:before="120" w:after="283"/>
              <w:jc w:val="left"/>
              <w:rPr>
                <w:rFonts w:ascii="Montserrat;sans-serif" w:hAnsi="Montserrat;sans-serif"/>
                <w:b/>
                <w:color w:val="7855FA"/>
                <w:sz w:val="18"/>
              </w:rPr>
            </w:pPr>
            <w:r>
              <w:rPr>
                <w:rFonts w:ascii="Montserrat;sans-serif" w:hAnsi="Montserrat;sans-serif"/>
                <w:b/>
                <w:color w:val="7855FA"/>
                <w:sz w:val="18"/>
              </w:rPr>
              <w:t>Board Committees:</w:t>
            </w:r>
          </w:p>
          <w:p>
            <w:pPr>
              <w:pStyle w:val="TableContents"/>
              <w:bidi w:val="0"/>
              <w:spacing w:before="0" w:after="0"/>
              <w:jc w:val="left"/>
              <w:rPr>
                <w:color w:val="7855FA"/>
              </w:rPr>
            </w:pPr>
            <w:r>
              <w:rPr>
                <w:color w:val="7855FA"/>
              </w:rPr>
              <w:t>•</w:t>
            </w:r>
          </w:p>
          <w:p>
            <w:pPr>
              <w:pStyle w:val="TableContents"/>
              <w:bidi w:val="0"/>
              <w:spacing w:before="0" w:after="0"/>
              <w:jc w:val="left"/>
              <w:rPr>
                <w:rFonts w:ascii="Montserrat;sans-serif" w:hAnsi="Montserrat;sans-serif"/>
                <w:color w:val="000000"/>
                <w:sz w:val="18"/>
              </w:rPr>
            </w:pPr>
            <w:r>
              <w:rPr>
                <w:rFonts w:ascii="Montserrat;sans-serif" w:hAnsi="Montserrat;sans-serif"/>
                <w:color w:val="000000"/>
                <w:sz w:val="18"/>
              </w:rPr>
              <w:t>Audit (Chair)</w:t>
            </w:r>
          </w:p>
          <w:p>
            <w:pPr>
              <w:pStyle w:val="TableContents"/>
              <w:bidi w:val="0"/>
              <w:spacing w:before="0" w:after="60"/>
              <w:jc w:val="left"/>
              <w:rPr>
                <w:color w:val="7855FA"/>
              </w:rPr>
            </w:pPr>
            <w:r>
              <w:rPr>
                <w:color w:val="7855FA"/>
              </w:rPr>
              <w:t>•</w:t>
            </w:r>
          </w:p>
          <w:p>
            <w:pPr>
              <w:pStyle w:val="TableContents"/>
              <w:bidi w:val="0"/>
              <w:spacing w:before="0" w:after="60"/>
              <w:jc w:val="left"/>
              <w:rPr>
                <w:rFonts w:ascii="Montserrat;sans-serif" w:hAnsi="Montserrat;sans-serif"/>
                <w:color w:val="000000"/>
                <w:sz w:val="18"/>
              </w:rPr>
            </w:pPr>
            <w:r>
              <w:rPr>
                <w:rFonts w:ascii="Montserrat;sans-serif" w:hAnsi="Montserrat;sans-serif"/>
                <w:color w:val="000000"/>
                <w:sz w:val="18"/>
              </w:rPr>
              <w:t xml:space="preserve">Security and Privacy </w:t>
            </w:r>
          </w:p>
        </w:tc>
        <w:tc>
          <w:tcPr>
            <w:tcW w:w="5207" w:type="dxa"/>
            <w:tcBorders>
              <w:bottom w:val="single" w:sz="4" w:space="0" w:color="7855FA"/>
            </w:tcBorders>
            <w:tcMar>
              <w:top w:w="0" w:type="dxa"/>
              <w:left w:w="0" w:type="dxa"/>
              <w:right w:w="0" w:type="dxa"/>
            </w:tcMar>
            <w:vAlign w:val="center"/>
          </w:tcPr>
          <w:p>
            <w:pPr>
              <w:pStyle w:val="TableContents"/>
              <w:bidi w:val="0"/>
              <w:spacing w:before="120" w:after="283"/>
              <w:jc w:val="left"/>
              <w:rPr>
                <w:rFonts w:ascii="Montserrat;sans-serif" w:hAnsi="Montserrat;sans-serif"/>
                <w:b/>
                <w:color w:val="7855FA"/>
                <w:sz w:val="18"/>
              </w:rPr>
            </w:pPr>
            <w:r>
              <w:rPr>
                <w:rFonts w:ascii="Montserrat;sans-serif" w:hAnsi="Montserrat;sans-serif"/>
                <w:b/>
                <w:color w:val="7855FA"/>
                <w:sz w:val="18"/>
              </w:rPr>
              <w:t>Other public boards during the past five years:</w:t>
            </w:r>
          </w:p>
          <w:p>
            <w:pPr>
              <w:pStyle w:val="TableContents"/>
              <w:bidi w:val="0"/>
              <w:spacing w:before="0" w:after="0"/>
              <w:jc w:val="left"/>
              <w:rPr>
                <w:color w:val="7855FA"/>
              </w:rPr>
            </w:pPr>
            <w:r>
              <w:rPr>
                <w:color w:val="7855FA"/>
              </w:rPr>
              <w:t>•</w:t>
            </w:r>
          </w:p>
          <w:p>
            <w:pPr>
              <w:pStyle w:val="TableContents"/>
              <w:bidi w:val="0"/>
              <w:spacing w:before="0" w:after="0"/>
              <w:jc w:val="left"/>
              <w:rPr>
                <w:rFonts w:ascii="Montserrat;sans-serif" w:hAnsi="Montserrat;sans-serif"/>
                <w:color w:val="000000"/>
                <w:sz w:val="18"/>
              </w:rPr>
            </w:pPr>
            <w:r>
              <w:rPr>
                <w:rFonts w:ascii="Montserrat;sans-serif" w:hAnsi="Montserrat;sans-serif"/>
                <w:color w:val="000000"/>
                <w:sz w:val="18"/>
              </w:rPr>
              <w:t>Option Care Health (since 2024)</w:t>
            </w:r>
          </w:p>
          <w:p>
            <w:pPr>
              <w:pStyle w:val="TableContents"/>
              <w:bidi w:val="0"/>
              <w:spacing w:before="0" w:after="0"/>
              <w:jc w:val="left"/>
              <w:rPr>
                <w:color w:val="7855FA"/>
              </w:rPr>
            </w:pPr>
            <w:r>
              <w:rPr>
                <w:color w:val="7855FA"/>
              </w:rPr>
              <w:t>•</w:t>
            </w:r>
          </w:p>
          <w:p>
            <w:pPr>
              <w:pStyle w:val="TableContents"/>
              <w:bidi w:val="0"/>
              <w:spacing w:before="0" w:after="0"/>
              <w:jc w:val="left"/>
              <w:rPr>
                <w:rFonts w:ascii="Montserrat;sans-serif" w:hAnsi="Montserrat;sans-serif"/>
                <w:color w:val="000000"/>
                <w:sz w:val="18"/>
              </w:rPr>
            </w:pPr>
            <w:r>
              <w:rPr>
                <w:rFonts w:ascii="Montserrat;sans-serif" w:hAnsi="Montserrat;sans-serif"/>
                <w:color w:val="000000"/>
                <w:sz w:val="18"/>
              </w:rPr>
              <w:t>Gen Digital Inc. (since 2020)</w:t>
            </w:r>
          </w:p>
          <w:p>
            <w:pPr>
              <w:pStyle w:val="TableContents"/>
              <w:bidi w:val="0"/>
              <w:spacing w:before="0" w:after="0"/>
              <w:jc w:val="left"/>
              <w:rPr>
                <w:color w:val="7855FA"/>
              </w:rPr>
            </w:pPr>
            <w:r>
              <w:rPr>
                <w:color w:val="7855FA"/>
              </w:rPr>
              <w:t>•</w:t>
            </w:r>
          </w:p>
          <w:p>
            <w:pPr>
              <w:pStyle w:val="TableContents"/>
              <w:bidi w:val="0"/>
              <w:spacing w:before="0" w:after="0"/>
              <w:jc w:val="left"/>
              <w:rPr>
                <w:rFonts w:ascii="Montserrat;sans-serif" w:hAnsi="Montserrat;sans-serif"/>
                <w:color w:val="000000"/>
                <w:sz w:val="18"/>
              </w:rPr>
            </w:pPr>
            <w:r>
              <w:rPr>
                <w:rFonts w:ascii="Montserrat;sans-serif" w:hAnsi="Montserrat;sans-serif"/>
                <w:color w:val="000000"/>
                <w:sz w:val="18"/>
              </w:rPr>
              <w:t>Lam Research Corporation (since 2010)</w:t>
            </w:r>
          </w:p>
          <w:p>
            <w:pPr>
              <w:pStyle w:val="TableContents"/>
              <w:bidi w:val="0"/>
              <w:spacing w:before="0" w:after="0"/>
              <w:jc w:val="left"/>
              <w:rPr>
                <w:color w:val="7855FA"/>
              </w:rPr>
            </w:pPr>
            <w:r>
              <w:rPr>
                <w:color w:val="7855FA"/>
              </w:rPr>
              <w:t>•</w:t>
            </w:r>
          </w:p>
          <w:p>
            <w:pPr>
              <w:pStyle w:val="TableContents"/>
              <w:bidi w:val="0"/>
              <w:spacing w:before="0" w:after="0"/>
              <w:jc w:val="left"/>
              <w:rPr>
                <w:rFonts w:ascii="Montserrat;sans-serif" w:hAnsi="Montserrat;sans-serif"/>
                <w:color w:val="000000"/>
                <w:sz w:val="18"/>
              </w:rPr>
            </w:pPr>
            <w:r>
              <w:rPr>
                <w:rFonts w:ascii="Montserrat;sans-serif" w:hAnsi="Montserrat;sans-serif"/>
                <w:color w:val="000000"/>
                <w:sz w:val="18"/>
              </w:rPr>
              <w:t>The Macerich Company (2018-2025)</w:t>
            </w:r>
          </w:p>
          <w:p>
            <w:pPr>
              <w:pStyle w:val="TableContents"/>
              <w:bidi w:val="0"/>
              <w:spacing w:before="0" w:after="0"/>
              <w:jc w:val="left"/>
              <w:rPr>
                <w:color w:val="7855FA"/>
              </w:rPr>
            </w:pPr>
            <w:r>
              <w:rPr>
                <w:color w:val="7855FA"/>
              </w:rPr>
              <w:t>•</w:t>
            </w:r>
          </w:p>
          <w:p>
            <w:pPr>
              <w:pStyle w:val="TableContents"/>
              <w:bidi w:val="0"/>
              <w:spacing w:before="0" w:after="0"/>
              <w:jc w:val="left"/>
              <w:rPr>
                <w:rFonts w:ascii="Montserrat;sans-serif" w:hAnsi="Montserrat;sans-serif"/>
                <w:color w:val="000000"/>
                <w:sz w:val="18"/>
              </w:rPr>
            </w:pPr>
            <w:r>
              <w:rPr>
                <w:rFonts w:ascii="Montserrat;sans-serif" w:hAnsi="Montserrat;sans-serif"/>
                <w:color w:val="000000"/>
                <w:sz w:val="18"/>
              </w:rPr>
              <w:t>DENTSPLY SIRONA (2004-2024)</w:t>
            </w:r>
          </w:p>
        </w:tc>
      </w:tr>
      <w:tr>
        <w:trPr/>
        <w:tc>
          <w:tcPr>
            <w:tcW w:w="10205" w:type="dxa"/>
            <w:gridSpan w:val="3"/>
            <w:tcBorders>
              <w:bottom w:val="single" w:sz="4" w:space="0" w:color="7855FA"/>
            </w:tcBorders>
            <w:tcMar>
              <w:top w:w="0" w:type="dxa"/>
              <w:left w:w="0" w:type="dxa"/>
              <w:right w:w="0" w:type="dxa"/>
            </w:tcMar>
            <w:vAlign w:val="center"/>
          </w:tcPr>
          <w:p>
            <w:pPr>
              <w:pStyle w:val="TableContents"/>
              <w:bidi w:val="0"/>
              <w:spacing w:before="120" w:after="283"/>
              <w:jc w:val="left"/>
              <w:rPr>
                <w:rFonts w:ascii="Montserrat;sans-serif" w:hAnsi="Montserrat;sans-serif"/>
                <w:b/>
                <w:color w:val="7855FA"/>
                <w:sz w:val="18"/>
              </w:rPr>
            </w:pPr>
            <w:r>
              <w:rPr>
                <w:rFonts w:ascii="Montserrat;sans-serif" w:hAnsi="Montserrat;sans-serif"/>
                <w:b/>
                <w:color w:val="7855FA"/>
                <w:sz w:val="18"/>
              </w:rPr>
              <w:t>Professional background</w:t>
            </w:r>
          </w:p>
          <w:p>
            <w:pPr>
              <w:pStyle w:val="TableContents"/>
              <w:bidi w:val="0"/>
              <w:spacing w:before="120" w:after="283"/>
              <w:jc w:val="both"/>
              <w:rPr>
                <w:rFonts w:ascii="Montserrat;sans-serif" w:hAnsi="Montserrat;sans-serif"/>
                <w:color w:val="000000"/>
                <w:sz w:val="18"/>
              </w:rPr>
            </w:pPr>
            <w:r>
              <w:rPr>
                <w:rFonts w:ascii="Montserrat;sans-serif" w:hAnsi="Montserrat;sans-serif"/>
                <w:color w:val="000000"/>
                <w:sz w:val="18"/>
              </w:rPr>
              <w:t>Mr. Brandt is a seasoned executive and public company director with more than three decades of experience in finance, operations, and strategic transformation across the technology, healthcare, and consumer sectors. He served as Chief Financial Officer of Broadcom Corporation, a global semiconductor company, from 2007 until it was acquired by Avago Technologies Limited in 2016, where he played a pivotal role in scaling it through organic growth and strategic acquisitions into one of the world’s largest semiconductor companies. Prior senior executive roles include serving as</w:t>
              <w:br/>
              <w:t xml:space="preserve">President and Chief Executive Officer of Avanir Pharmaceuticals, Inc., a biopharmaceutical company, and as Chief Financial Officer at Allergan, Inc., a multinational healthcare company, where he also oversaw global manufacturing and technical operations. </w:t>
            </w:r>
          </w:p>
          <w:p>
            <w:pPr>
              <w:pStyle w:val="TableContents"/>
              <w:bidi w:val="0"/>
              <w:spacing w:before="120" w:after="283"/>
              <w:jc w:val="both"/>
              <w:rPr>
                <w:rFonts w:ascii="Montserrat;sans-serif" w:hAnsi="Montserrat;sans-serif"/>
                <w:color w:val="000000"/>
                <w:sz w:val="18"/>
              </w:rPr>
            </w:pPr>
            <w:r>
              <w:rPr>
                <w:rFonts w:ascii="Montserrat;sans-serif" w:hAnsi="Montserrat;sans-serif"/>
                <w:color w:val="000000"/>
                <w:sz w:val="18"/>
              </w:rPr>
              <w:t>Mr. Brandt has served on the board of directors of Option Care Health, Inc., a health provider of home and alternate site infusion services, since May 2024, Gen Digital Inc. (formerly NortonLifeLock, Inc.), a consumer cybersecurity provider, since February 2020, and Lam Research Corporation, a semiconductor equipment company, since September 2010. He previously served on the boards of The Macerich Company, a real estate investment trust focused on regional malls, from June 2018 to June 2025, Yahoo! Inc., a then-public internet services and digital media</w:t>
              <w:br/>
              <w:t xml:space="preserve">company, and DENTSPLY SIRONA Inc., a multinational manufacturer of professional dental products and technologies, from November 2004 to May 2024, among others. Mr. Brandt has served on audit, compensation, finance, governance, and cybersecurity committees. His governance experience includes serving as board chair, serving on nominating and corporate governance committees, and chairing special committees addressing cyber breach response, capital allocation, and strategic transformation. As an audit committee financial expert, he has also advised public companies on enterprise risk management and operational restructuring. Mr. Brandt’s advisory and executive roles at private technology companies have deepened his expertise in IT infrastructure, cloud software, and cybersecurity oversight. His experience spans regulated industries and global markets, with a focus on financial discipline, operational scale, and risk mitigation. </w:t>
            </w:r>
          </w:p>
          <w:p>
            <w:pPr>
              <w:pStyle w:val="TableContents"/>
              <w:bidi w:val="0"/>
              <w:spacing w:before="120" w:after="283"/>
              <w:jc w:val="left"/>
              <w:rPr>
                <w:rFonts w:ascii="Montserrat;sans-serif" w:hAnsi="Montserrat;sans-serif"/>
                <w:b/>
                <w:color w:val="7855FA"/>
                <w:sz w:val="18"/>
              </w:rPr>
            </w:pPr>
            <w:r>
              <w:rPr>
                <w:rFonts w:ascii="Montserrat;sans-serif" w:hAnsi="Montserrat;sans-serif"/>
                <w:b/>
                <w:color w:val="7855FA"/>
                <w:sz w:val="18"/>
              </w:rPr>
              <w:t>Education</w:t>
            </w:r>
          </w:p>
          <w:p>
            <w:pPr>
              <w:pStyle w:val="TableContents"/>
              <w:bidi w:val="0"/>
              <w:spacing w:before="120" w:after="283"/>
              <w:jc w:val="both"/>
              <w:rPr>
                <w:rFonts w:ascii="Montserrat;sans-serif" w:hAnsi="Montserrat;sans-serif"/>
                <w:color w:val="000000"/>
                <w:sz w:val="18"/>
              </w:rPr>
            </w:pPr>
            <w:r>
              <w:rPr>
                <w:rFonts w:ascii="Montserrat;sans-serif" w:hAnsi="Montserrat;sans-serif"/>
                <w:color w:val="000000"/>
                <w:sz w:val="18"/>
              </w:rPr>
              <w:t>B.S. in Chemical Engineering, Massachusetts Institute of Technology</w:t>
            </w:r>
          </w:p>
          <w:p>
            <w:pPr>
              <w:pStyle w:val="TableContents"/>
              <w:bidi w:val="0"/>
              <w:jc w:val="both"/>
              <w:rPr>
                <w:rFonts w:ascii="Montserrat;sans-serif" w:hAnsi="Montserrat;sans-serif"/>
                <w:color w:val="000000"/>
                <w:sz w:val="18"/>
              </w:rPr>
            </w:pPr>
            <w:r>
              <w:rPr>
                <w:rFonts w:ascii="Montserrat;sans-serif" w:hAnsi="Montserrat;sans-serif"/>
                <w:color w:val="000000"/>
                <w:sz w:val="18"/>
              </w:rPr>
              <w:t>M.B.A., Harvard Business School</w:t>
            </w:r>
          </w:p>
          <w:p>
            <w:pPr>
              <w:pStyle w:val="TableContents"/>
              <w:bidi w:val="0"/>
              <w:spacing w:before="120" w:after="283"/>
              <w:jc w:val="left"/>
              <w:rPr>
                <w:rFonts w:ascii="Montserrat;sans-serif" w:hAnsi="Montserrat;sans-serif"/>
                <w:b/>
                <w:color w:val="7855FA"/>
                <w:sz w:val="18"/>
              </w:rPr>
            </w:pPr>
            <w:r>
              <w:rPr>
                <w:rFonts w:ascii="Montserrat;sans-serif" w:hAnsi="Montserrat;sans-serif"/>
                <w:b/>
                <w:color w:val="7855FA"/>
                <w:sz w:val="18"/>
              </w:rPr>
              <w:t>Key skills and experience</w:t>
            </w:r>
          </w:p>
          <w:p>
            <w:pPr>
              <w:pStyle w:val="TableContents"/>
              <w:bidi w:val="0"/>
              <w:spacing w:before="120" w:after="60"/>
              <w:jc w:val="both"/>
              <w:rPr>
                <w:rFonts w:ascii="Montserrat;sans-serif" w:hAnsi="Montserrat;sans-serif"/>
                <w:color w:val="000000"/>
                <w:sz w:val="18"/>
              </w:rPr>
            </w:pPr>
            <w:r>
              <w:rPr>
                <w:rFonts w:ascii="Montserrat;sans-serif" w:hAnsi="Montserrat;sans-serif"/>
                <w:color w:val="000000"/>
                <w:sz w:val="18"/>
              </w:rPr>
              <w:t>Our Board believes Mr. Brandt is qualified to serve as a director based on his extensive financial and operational leadership, including senior executive roles at global companies operating at scale. His leadership in business combinations and strategic transformational events, capital allocation, and enterprise risk supports the Board’s oversight of financial reporting and compliance. His governance of cybersecurity programs and IT infrastructure enhances the Board’s ability to evaluate enterprise risk, safeguard data integrity, and promote data protection and resilience in cloud environments. His work across regulated industries and global operations informs the Board’s approach to enterprise risk management, strategic planning, and innovation delivery. His board and executive experience across sectors further strengthens the Board’s oversight of strategic execution, shareholder engagement and value creation, and long-term growth.</w:t>
            </w:r>
          </w:p>
        </w:tc>
      </w:tr>
    </w:tbl>
    <w:p>
      <w:pPr>
        <w:pStyle w:val="TextBody"/>
        <w:bidi w:val="0"/>
        <w:jc w:val="both"/>
        <w:rPr/>
      </w:pPr>
      <w:r>
        <w:rPr/>
        <w:t> </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2641"/>
        <w:gridCol w:w="331"/>
      </w:tblGrid>
      <w:tr>
        <w:trPr/>
        <w:tc>
          <w:tcPr>
            <w:tcW w:w="26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123"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12" descr=""/>
                          <pic:cNvPicPr>
                            <a:picLocks noChangeAspect="1" noChangeArrowheads="1"/>
                          </pic:cNvPicPr>
                        </pic:nvPicPr>
                        <pic:blipFill>
                          <a:blip r:embed="rId116"/>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3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21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rFonts w:ascii="Montserrat;sans-serif" w:hAnsi="Montserrat;sans-serif"/>
          <w:color w:val="000000"/>
          <w:sz w:val="13"/>
        </w:rPr>
      </w:pPr>
      <w:r>
        <w:rPr>
          <w:rFonts w:ascii="Montserrat;sans-serif" w:hAnsi="Montserrat;sans-serif"/>
          <w:color w:val="000000"/>
          <w:sz w:val="13"/>
        </w:rPr>
        <w:t>Corporate Governance</w:t>
      </w:r>
    </w:p>
    <w:p>
      <w:pPr>
        <w:pStyle w:val="TextBody"/>
        <w:bidi w:val="0"/>
        <w:spacing w:before="60" w:after="283"/>
        <w:jc w:val="left"/>
        <w:rPr>
          <w:rFonts w:ascii="Montserrat;sans-serif" w:hAnsi="Montserrat;sans-serif"/>
          <w:color w:val="000000"/>
          <w:sz w:val="12"/>
        </w:rPr>
      </w:pPr>
      <w:r>
        <w:rPr>
          <w:rFonts w:ascii="Montserrat;sans-serif" w:hAnsi="Montserrat;sans-serif"/>
          <w:color w:val="000000"/>
          <w:sz w:val="12"/>
        </w:rPr>
        <w:t>Proposal 1: Election of Directors</w:t>
      </w:r>
    </w:p>
    <w:p>
      <w:pPr>
        <w:pStyle w:val="TextBody"/>
        <w:bidi w:val="0"/>
        <w:jc w:val="left"/>
        <w:rPr/>
      </w:pPr>
      <w:r>
        <w:rPr/>
        <w:t> </w:t>
      </w:r>
    </w:p>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950"/>
        <w:gridCol w:w="3131"/>
        <w:gridCol w:w="5124"/>
      </w:tblGrid>
      <w:tr>
        <w:trPr/>
        <w:tc>
          <w:tcPr>
            <w:tcW w:w="1950" w:type="dxa"/>
            <w:tcBorders/>
            <w:vAlign w:val="center"/>
          </w:tcPr>
          <w:p>
            <w:pPr>
              <w:pStyle w:val="TableContents"/>
              <w:bidi w:val="0"/>
              <w:spacing w:before="0" w:after="283"/>
              <w:jc w:val="left"/>
              <w:rPr>
                <w:sz w:val="4"/>
                <w:szCs w:val="4"/>
              </w:rPr>
            </w:pPr>
            <w:r>
              <w:rPr>
                <w:sz w:val="4"/>
                <w:szCs w:val="4"/>
              </w:rPr>
            </w:r>
          </w:p>
        </w:tc>
        <w:tc>
          <w:tcPr>
            <w:tcW w:w="3131" w:type="dxa"/>
            <w:tcBorders/>
            <w:vAlign w:val="center"/>
          </w:tcPr>
          <w:p>
            <w:pPr>
              <w:pStyle w:val="TableContents"/>
              <w:bidi w:val="0"/>
              <w:spacing w:before="0" w:after="283"/>
              <w:jc w:val="left"/>
              <w:rPr>
                <w:sz w:val="4"/>
                <w:szCs w:val="4"/>
              </w:rPr>
            </w:pPr>
            <w:r>
              <w:rPr>
                <w:sz w:val="4"/>
                <w:szCs w:val="4"/>
              </w:rPr>
            </w:r>
          </w:p>
        </w:tc>
        <w:tc>
          <w:tcPr>
            <w:tcW w:w="5124" w:type="dxa"/>
            <w:tcBorders/>
            <w:vAlign w:val="center"/>
          </w:tcPr>
          <w:p>
            <w:pPr>
              <w:pStyle w:val="TableContents"/>
              <w:bidi w:val="0"/>
              <w:spacing w:before="0" w:after="283"/>
              <w:jc w:val="left"/>
              <w:rPr>
                <w:sz w:val="4"/>
                <w:szCs w:val="4"/>
              </w:rPr>
            </w:pPr>
            <w:r>
              <w:rPr>
                <w:sz w:val="4"/>
                <w:szCs w:val="4"/>
              </w:rPr>
            </w:r>
          </w:p>
        </w:tc>
      </w:tr>
      <w:tr>
        <w:trPr/>
        <w:tc>
          <w:tcPr>
            <w:tcW w:w="1950" w:type="dxa"/>
            <w:vMerge w:val="restart"/>
            <w:tcBorders>
              <w:bottom w:val="single" w:sz="4" w:space="0" w:color="7855FA"/>
            </w:tcBorders>
            <w:tcMar>
              <w:top w:w="0" w:type="dxa"/>
              <w:left w:w="0" w:type="dxa"/>
              <w:right w:w="0" w:type="dxa"/>
            </w:tcMar>
            <w:vAlign w:val="center"/>
          </w:tcPr>
          <w:p>
            <w:pPr>
              <w:pStyle w:val="TableContents"/>
              <w:bidi w:val="0"/>
              <w:spacing w:before="120" w:after="283"/>
              <w:jc w:val="left"/>
              <w:rPr/>
            </w:pPr>
            <w:r>
              <w:rPr/>
              <w:drawing>
                <wp:inline distT="0" distB="0" distL="0" distR="0">
                  <wp:extent cx="638175" cy="657225"/>
                  <wp:effectExtent l="0" t="0" r="0" b="0"/>
                  <wp:docPr id="124"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13" descr=""/>
                          <pic:cNvPicPr>
                            <a:picLocks noChangeAspect="1" noChangeArrowheads="1"/>
                          </pic:cNvPicPr>
                        </pic:nvPicPr>
                        <pic:blipFill>
                          <a:blip r:embed="rId117"/>
                          <a:stretch>
                            <a:fillRect/>
                          </a:stretch>
                        </pic:blipFill>
                        <pic:spPr bwMode="auto">
                          <a:xfrm>
                            <a:off x="0" y="0"/>
                            <a:ext cx="638175" cy="657225"/>
                          </a:xfrm>
                          <a:prstGeom prst="rect">
                            <a:avLst/>
                          </a:prstGeom>
                        </pic:spPr>
                      </pic:pic>
                    </a:graphicData>
                  </a:graphic>
                </wp:inline>
              </w:drawing>
            </w:r>
          </w:p>
        </w:tc>
        <w:tc>
          <w:tcPr>
            <w:tcW w:w="3131" w:type="dxa"/>
            <w:tcBorders>
              <w:bottom w:val="single" w:sz="4" w:space="0" w:color="7855FA"/>
            </w:tcBorders>
            <w:tcMar>
              <w:top w:w="0" w:type="dxa"/>
              <w:left w:w="0" w:type="dxa"/>
              <w:right w:w="0" w:type="dxa"/>
            </w:tcMar>
            <w:vAlign w:val="center"/>
          </w:tcPr>
          <w:p>
            <w:pPr>
              <w:pStyle w:val="TableContents"/>
              <w:bidi w:val="0"/>
              <w:spacing w:before="0" w:after="60"/>
              <w:jc w:val="left"/>
              <w:rPr>
                <w:rFonts w:ascii="Montserrat;sans-serif" w:hAnsi="Montserrat;sans-serif"/>
                <w:b/>
                <w:color w:val="7855FA"/>
                <w:sz w:val="20"/>
              </w:rPr>
            </w:pPr>
            <w:r>
              <w:rPr>
                <w:rFonts w:ascii="Montserrat;sans-serif" w:hAnsi="Montserrat;sans-serif"/>
                <w:b/>
                <w:color w:val="7855FA"/>
                <w:sz w:val="20"/>
              </w:rPr>
              <w:t>Max de Groen</w:t>
            </w:r>
          </w:p>
        </w:tc>
        <w:tc>
          <w:tcPr>
            <w:tcW w:w="5124" w:type="dxa"/>
            <w:tcBorders>
              <w:bottom w:val="single" w:sz="4" w:space="0" w:color="7855FA"/>
            </w:tcBorders>
            <w:tcMar>
              <w:top w:w="0" w:type="dxa"/>
              <w:left w:w="0" w:type="dxa"/>
              <w:right w:w="0" w:type="dxa"/>
            </w:tcMar>
            <w:vAlign w:val="center"/>
          </w:tcPr>
          <w:p>
            <w:pPr>
              <w:pStyle w:val="TableContents"/>
              <w:bidi w:val="0"/>
              <w:spacing w:before="0" w:after="60"/>
              <w:jc w:val="left"/>
              <w:rPr/>
            </w:pPr>
            <w:r>
              <w:rPr/>
              <w:t> </w:t>
            </w:r>
          </w:p>
        </w:tc>
      </w:tr>
      <w:tr>
        <w:trPr/>
        <w:tc>
          <w:tcPr>
            <w:tcW w:w="1950" w:type="dxa"/>
            <w:vMerge w:val="continue"/>
            <w:tcBorders>
              <w:bottom w:val="single" w:sz="4" w:space="0" w:color="7855FA"/>
            </w:tcBorders>
            <w:tcMar>
              <w:top w:w="0" w:type="dxa"/>
              <w:left w:w="0" w:type="dxa"/>
              <w:right w:w="0" w:type="dxa"/>
            </w:tcMar>
            <w:vAlign w:val="center"/>
          </w:tcPr>
          <w:p>
            <w:pPr>
              <w:pStyle w:val="Normal"/>
              <w:bidi w:val="0"/>
              <w:jc w:val="left"/>
              <w:rPr/>
            </w:pPr>
            <w:r>
              <w:rPr/>
            </w:r>
          </w:p>
        </w:tc>
        <w:tc>
          <w:tcPr>
            <w:tcW w:w="3131" w:type="dxa"/>
            <w:tcBorders>
              <w:bottom w:val="single" w:sz="4" w:space="0" w:color="7855FA"/>
            </w:tcBorders>
            <w:tcMar>
              <w:top w:w="0" w:type="dxa"/>
              <w:left w:w="0" w:type="dxa"/>
              <w:right w:w="0" w:type="dxa"/>
            </w:tcMar>
            <w:vAlign w:val="center"/>
          </w:tcPr>
          <w:p>
            <w:pPr>
              <w:pStyle w:val="TableContents"/>
              <w:bidi w:val="0"/>
              <w:spacing w:before="120" w:after="283"/>
              <w:jc w:val="left"/>
              <w:rPr>
                <w:rFonts w:ascii="Montserrat Medium;sans-serif" w:hAnsi="Montserrat Medium;sans-serif"/>
                <w:sz w:val="18"/>
              </w:rPr>
            </w:pPr>
            <w:r>
              <w:rPr>
                <w:rFonts w:ascii="Montserrat;Montserrat Medium;sans-serif" w:hAnsi="Montserrat;Montserrat Medium;sans-serif"/>
                <w:b/>
                <w:color w:val="7855FA"/>
                <w:sz w:val="18"/>
              </w:rPr>
              <w:t>Age:</w:t>
            </w:r>
            <w:r>
              <w:rPr>
                <w:rFonts w:ascii="Montserrat Medium;sans-serif" w:hAnsi="Montserrat Medium;sans-serif"/>
                <w:color w:val="594DFF"/>
                <w:sz w:val="18"/>
              </w:rPr>
              <w:t xml:space="preserve"> </w:t>
            </w:r>
            <w:r>
              <w:rPr>
                <w:rFonts w:ascii="Montserrat;Montserrat Medium;sans-serif" w:hAnsi="Montserrat;Montserrat Medium;sans-serif"/>
                <w:b/>
                <w:color w:val="000000"/>
                <w:sz w:val="18"/>
              </w:rPr>
              <w:t>41</w:t>
            </w:r>
          </w:p>
          <w:p>
            <w:pPr>
              <w:pStyle w:val="TableContents"/>
              <w:bidi w:val="0"/>
              <w:spacing w:before="60" w:after="283"/>
              <w:jc w:val="left"/>
              <w:rPr>
                <w:rFonts w:ascii="Montserrat Medium;sans-serif" w:hAnsi="Montserrat Medium;sans-serif"/>
                <w:sz w:val="18"/>
              </w:rPr>
            </w:pPr>
            <w:r>
              <w:rPr>
                <w:rFonts w:ascii="Montserrat;Montserrat Medium;sans-serif" w:hAnsi="Montserrat;Montserrat Medium;sans-serif"/>
                <w:b/>
                <w:color w:val="7855FA"/>
                <w:sz w:val="18"/>
              </w:rPr>
              <w:t>Director since:</w:t>
            </w:r>
            <w:r>
              <w:rPr>
                <w:rFonts w:ascii="Montserrat Medium;sans-serif" w:hAnsi="Montserrat Medium;sans-serif"/>
                <w:color w:val="594DFF"/>
                <w:sz w:val="18"/>
              </w:rPr>
              <w:t xml:space="preserve"> </w:t>
            </w:r>
            <w:r>
              <w:rPr>
                <w:rFonts w:ascii="Montserrat;Montserrat Medium;sans-serif" w:hAnsi="Montserrat;Montserrat Medium;sans-serif"/>
                <w:b/>
                <w:color w:val="000000"/>
                <w:sz w:val="18"/>
              </w:rPr>
              <w:t>2020</w:t>
            </w:r>
          </w:p>
          <w:p>
            <w:pPr>
              <w:pStyle w:val="TableContents"/>
              <w:bidi w:val="0"/>
              <w:spacing w:before="120" w:after="283"/>
              <w:jc w:val="left"/>
              <w:rPr>
                <w:rFonts w:ascii="Montserrat;sans-serif" w:hAnsi="Montserrat;sans-serif"/>
                <w:b/>
                <w:color w:val="000000"/>
                <w:sz w:val="18"/>
              </w:rPr>
            </w:pPr>
            <w:r>
              <w:rPr>
                <w:rFonts w:ascii="Montserrat;sans-serif" w:hAnsi="Montserrat;sans-serif"/>
                <w:b/>
                <w:color w:val="000000"/>
                <w:sz w:val="18"/>
              </w:rPr>
              <w:t>Independent</w:t>
            </w:r>
          </w:p>
          <w:p>
            <w:pPr>
              <w:pStyle w:val="TableContents"/>
              <w:bidi w:val="0"/>
              <w:spacing w:before="120" w:after="283"/>
              <w:jc w:val="left"/>
              <w:rPr>
                <w:rFonts w:ascii="Montserrat;sans-serif" w:hAnsi="Montserrat;sans-serif"/>
                <w:b/>
                <w:color w:val="7855FA"/>
                <w:sz w:val="18"/>
              </w:rPr>
            </w:pPr>
            <w:r>
              <w:rPr>
                <w:rFonts w:ascii="Montserrat;sans-serif" w:hAnsi="Montserrat;sans-serif"/>
                <w:b/>
                <w:color w:val="7855FA"/>
                <w:sz w:val="18"/>
              </w:rPr>
              <w:t>Board Committees:</w:t>
            </w:r>
          </w:p>
          <w:p>
            <w:pPr>
              <w:pStyle w:val="TableContents"/>
              <w:bidi w:val="0"/>
              <w:spacing w:before="0" w:after="0"/>
              <w:jc w:val="left"/>
              <w:rPr>
                <w:color w:val="7855FA"/>
              </w:rPr>
            </w:pPr>
            <w:r>
              <w:rPr>
                <w:color w:val="7855FA"/>
              </w:rPr>
              <w:t>•</w:t>
            </w:r>
          </w:p>
          <w:p>
            <w:pPr>
              <w:pStyle w:val="TableContents"/>
              <w:bidi w:val="0"/>
              <w:spacing w:before="0" w:after="0"/>
              <w:jc w:val="left"/>
              <w:rPr>
                <w:rFonts w:ascii="Montserrat;sans-serif" w:hAnsi="Montserrat;sans-serif"/>
                <w:color w:val="000000"/>
                <w:sz w:val="18"/>
              </w:rPr>
            </w:pPr>
            <w:r>
              <w:rPr>
                <w:rFonts w:ascii="Montserrat;sans-serif" w:hAnsi="Montserrat;sans-serif"/>
                <w:color w:val="000000"/>
                <w:sz w:val="18"/>
              </w:rPr>
              <w:t>Audit</w:t>
            </w:r>
          </w:p>
          <w:p>
            <w:pPr>
              <w:pStyle w:val="TableContents"/>
              <w:bidi w:val="0"/>
              <w:spacing w:before="0" w:after="60"/>
              <w:jc w:val="left"/>
              <w:rPr>
                <w:color w:val="7855FA"/>
              </w:rPr>
            </w:pPr>
            <w:r>
              <w:rPr>
                <w:color w:val="7855FA"/>
              </w:rPr>
              <w:t>•</w:t>
            </w:r>
          </w:p>
          <w:p>
            <w:pPr>
              <w:pStyle w:val="TableContents"/>
              <w:bidi w:val="0"/>
              <w:spacing w:before="0" w:after="60"/>
              <w:jc w:val="left"/>
              <w:rPr>
                <w:rFonts w:ascii="Montserrat;sans-serif" w:hAnsi="Montserrat;sans-serif"/>
                <w:color w:val="000000"/>
                <w:sz w:val="18"/>
              </w:rPr>
            </w:pPr>
            <w:r>
              <w:rPr>
                <w:rFonts w:ascii="Montserrat;sans-serif" w:hAnsi="Montserrat;sans-serif"/>
                <w:color w:val="000000"/>
                <w:sz w:val="18"/>
              </w:rPr>
              <w:t xml:space="preserve">Compensation </w:t>
            </w:r>
          </w:p>
        </w:tc>
        <w:tc>
          <w:tcPr>
            <w:tcW w:w="5124" w:type="dxa"/>
            <w:tcBorders>
              <w:bottom w:val="single" w:sz="4" w:space="0" w:color="7855FA"/>
            </w:tcBorders>
            <w:tcMar>
              <w:top w:w="0" w:type="dxa"/>
              <w:left w:w="0" w:type="dxa"/>
              <w:right w:w="0" w:type="dxa"/>
            </w:tcMar>
            <w:vAlign w:val="center"/>
          </w:tcPr>
          <w:p>
            <w:pPr>
              <w:pStyle w:val="TableContents"/>
              <w:bidi w:val="0"/>
              <w:spacing w:before="120" w:after="283"/>
              <w:jc w:val="left"/>
              <w:rPr>
                <w:rFonts w:ascii="Montserrat;sans-serif" w:hAnsi="Montserrat;sans-serif"/>
                <w:b/>
                <w:color w:val="7855FA"/>
                <w:sz w:val="18"/>
              </w:rPr>
            </w:pPr>
            <w:r>
              <w:rPr>
                <w:rFonts w:ascii="Montserrat;sans-serif" w:hAnsi="Montserrat;sans-serif"/>
                <w:b/>
                <w:color w:val="7855FA"/>
                <w:sz w:val="18"/>
              </w:rPr>
              <w:t>Other public boards during the past five years:</w:t>
            </w:r>
          </w:p>
          <w:p>
            <w:pPr>
              <w:pStyle w:val="TableContents"/>
              <w:bidi w:val="0"/>
              <w:spacing w:before="0" w:after="0"/>
              <w:jc w:val="left"/>
              <w:rPr>
                <w:color w:val="7855FA"/>
              </w:rPr>
            </w:pPr>
            <w:r>
              <w:rPr>
                <w:color w:val="7855FA"/>
              </w:rPr>
              <w:t>•</w:t>
            </w:r>
          </w:p>
          <w:p>
            <w:pPr>
              <w:pStyle w:val="TableContents"/>
              <w:bidi w:val="0"/>
              <w:spacing w:before="0" w:after="0"/>
              <w:jc w:val="left"/>
              <w:rPr>
                <w:rFonts w:ascii="Montserrat;sans-serif" w:hAnsi="Montserrat;sans-serif"/>
                <w:color w:val="000000"/>
                <w:sz w:val="18"/>
              </w:rPr>
            </w:pPr>
            <w:r>
              <w:rPr>
                <w:rFonts w:ascii="Montserrat;sans-serif" w:hAnsi="Montserrat;sans-serif"/>
                <w:color w:val="000000"/>
                <w:sz w:val="18"/>
              </w:rPr>
              <w:t>None</w:t>
            </w:r>
          </w:p>
        </w:tc>
      </w:tr>
      <w:tr>
        <w:trPr/>
        <w:tc>
          <w:tcPr>
            <w:tcW w:w="10205" w:type="dxa"/>
            <w:gridSpan w:val="3"/>
            <w:tcBorders>
              <w:bottom w:val="single" w:sz="4" w:space="0" w:color="7855FA"/>
            </w:tcBorders>
            <w:tcMar>
              <w:top w:w="0" w:type="dxa"/>
              <w:left w:w="0" w:type="dxa"/>
              <w:right w:w="0" w:type="dxa"/>
            </w:tcMar>
            <w:vAlign w:val="center"/>
          </w:tcPr>
          <w:p>
            <w:pPr>
              <w:pStyle w:val="TableContents"/>
              <w:bidi w:val="0"/>
              <w:spacing w:before="120" w:after="283"/>
              <w:jc w:val="both"/>
              <w:rPr>
                <w:rFonts w:ascii="Montserrat;sans-serif" w:hAnsi="Montserrat;sans-serif"/>
                <w:b/>
                <w:color w:val="7855FA"/>
                <w:sz w:val="18"/>
              </w:rPr>
            </w:pPr>
            <w:r>
              <w:rPr>
                <w:rFonts w:ascii="Montserrat;sans-serif" w:hAnsi="Montserrat;sans-serif"/>
                <w:b/>
                <w:color w:val="7855FA"/>
                <w:sz w:val="18"/>
              </w:rPr>
              <w:t>Professional background</w:t>
            </w:r>
          </w:p>
          <w:p>
            <w:pPr>
              <w:pStyle w:val="TableContents"/>
              <w:bidi w:val="0"/>
              <w:spacing w:before="120" w:after="283"/>
              <w:jc w:val="both"/>
              <w:rPr>
                <w:rFonts w:ascii="Montserrat;sans-serif" w:hAnsi="Montserrat;sans-serif"/>
                <w:color w:val="000000"/>
                <w:sz w:val="18"/>
              </w:rPr>
            </w:pPr>
            <w:r>
              <w:rPr>
                <w:rFonts w:ascii="Montserrat;sans-serif" w:hAnsi="Montserrat;sans-serif"/>
                <w:color w:val="000000"/>
                <w:sz w:val="18"/>
              </w:rPr>
              <w:t xml:space="preserve">Mr. de Groen is a Partner in the Technology Vertical at Bain Capital, a global private investment firm, where he has led investments and advised portfolio companies across software, infrastructure, and data platforms. Since joining Bain Capital in 2011, he has focused on scaling technology businesses through operational transformation, capital allocation, and strategic planning. Mr. de Groen’s financial expertise qualifies him as an audit committee financial expert. Prior to Bain Capital, Mr. de Groen was a consultant at The Boston Consulting Group, where he advised clients in healthcare, financial services, and technology on growth strategy and cross-functional execution. </w:t>
            </w:r>
          </w:p>
          <w:p>
            <w:pPr>
              <w:pStyle w:val="TableContents"/>
              <w:bidi w:val="0"/>
              <w:spacing w:before="120" w:after="283"/>
              <w:jc w:val="both"/>
              <w:rPr>
                <w:rFonts w:ascii="Montserrat;sans-serif" w:hAnsi="Montserrat;sans-serif"/>
                <w:color w:val="000000"/>
                <w:sz w:val="18"/>
              </w:rPr>
            </w:pPr>
            <w:r>
              <w:rPr>
                <w:rFonts w:ascii="Montserrat;sans-serif" w:hAnsi="Montserrat;sans-serif"/>
                <w:color w:val="000000"/>
                <w:sz w:val="18"/>
              </w:rPr>
              <w:t xml:space="preserve">Mr. de Groen currently serves on the boards of several private companies, including those operating in enterprise software, AI infrastructure, and cloud services. </w:t>
            </w:r>
          </w:p>
          <w:p>
            <w:pPr>
              <w:pStyle w:val="TableContents"/>
              <w:bidi w:val="0"/>
              <w:spacing w:before="120" w:after="283"/>
              <w:jc w:val="both"/>
              <w:rPr>
                <w:rFonts w:ascii="Montserrat;sans-serif" w:hAnsi="Montserrat;sans-serif"/>
                <w:b/>
                <w:color w:val="7855FA"/>
                <w:sz w:val="18"/>
              </w:rPr>
            </w:pPr>
            <w:r>
              <w:rPr>
                <w:rFonts w:ascii="Montserrat;sans-serif" w:hAnsi="Montserrat;sans-serif"/>
                <w:b/>
                <w:color w:val="7855FA"/>
                <w:sz w:val="18"/>
              </w:rPr>
              <w:t>Education</w:t>
            </w:r>
          </w:p>
          <w:p>
            <w:pPr>
              <w:pStyle w:val="TableContents"/>
              <w:bidi w:val="0"/>
              <w:spacing w:before="120" w:after="283"/>
              <w:jc w:val="both"/>
              <w:rPr>
                <w:rFonts w:ascii="Montserrat;sans-serif" w:hAnsi="Montserrat;sans-serif"/>
                <w:color w:val="000000"/>
                <w:sz w:val="18"/>
              </w:rPr>
            </w:pPr>
            <w:r>
              <w:rPr>
                <w:rFonts w:ascii="Montserrat;sans-serif" w:hAnsi="Montserrat;sans-serif"/>
                <w:color w:val="000000"/>
                <w:sz w:val="18"/>
              </w:rPr>
              <w:t>B.S. in Finance, University of Minnesota</w:t>
            </w:r>
          </w:p>
          <w:p>
            <w:pPr>
              <w:pStyle w:val="TableContents"/>
              <w:bidi w:val="0"/>
              <w:jc w:val="both"/>
              <w:rPr>
                <w:rFonts w:ascii="Montserrat;sans-serif" w:hAnsi="Montserrat;sans-serif"/>
                <w:color w:val="000000"/>
                <w:sz w:val="18"/>
              </w:rPr>
            </w:pPr>
            <w:r>
              <w:rPr>
                <w:rFonts w:ascii="Montserrat;sans-serif" w:hAnsi="Montserrat;sans-serif"/>
                <w:color w:val="000000"/>
                <w:sz w:val="18"/>
              </w:rPr>
              <w:t>M.B.A., Harvard Business School</w:t>
            </w:r>
          </w:p>
          <w:p>
            <w:pPr>
              <w:pStyle w:val="TableContents"/>
              <w:bidi w:val="0"/>
              <w:spacing w:before="120" w:after="283"/>
              <w:jc w:val="both"/>
              <w:rPr>
                <w:rFonts w:ascii="Montserrat;sans-serif" w:hAnsi="Montserrat;sans-serif"/>
                <w:b/>
                <w:color w:val="7855FA"/>
                <w:sz w:val="18"/>
              </w:rPr>
            </w:pPr>
            <w:r>
              <w:rPr>
                <w:rFonts w:ascii="Montserrat;sans-serif" w:hAnsi="Montserrat;sans-serif"/>
                <w:b/>
                <w:color w:val="7855FA"/>
                <w:sz w:val="18"/>
              </w:rPr>
              <w:t>Key skills and experience</w:t>
            </w:r>
          </w:p>
          <w:p>
            <w:pPr>
              <w:pStyle w:val="TableContents"/>
              <w:bidi w:val="0"/>
              <w:spacing w:before="120" w:after="60"/>
              <w:jc w:val="both"/>
              <w:rPr>
                <w:rFonts w:ascii="Montserrat;sans-serif" w:hAnsi="Montserrat;sans-serif"/>
                <w:color w:val="000000"/>
                <w:sz w:val="18"/>
              </w:rPr>
            </w:pPr>
            <w:r>
              <w:rPr>
                <w:rFonts w:ascii="Montserrat;sans-serif" w:hAnsi="Montserrat;sans-serif"/>
                <w:color w:val="000000"/>
                <w:sz w:val="18"/>
              </w:rPr>
              <w:t>Our Board believes Mr. de Groen is qualified to serve as a director based on his corporate finance expertise and his investment and strategic advisory experience in technology and software businesses. His expertise in scaling enterprise platforms and guiding operational transformation supports the Board’s oversight of long-term planning and innovation. His exposure to emerging technologies and AI infrastructure enhances the Board’s understanding of disruptive trends and competitive dynamics. His experience advising boards and management teams on capital allocation and organizational growth contributes to the Board’s ability to evaluate strategic alternatives and drive shareholder value.</w:t>
            </w:r>
          </w:p>
        </w:tc>
      </w:tr>
    </w:tbl>
    <w:p>
      <w:pPr>
        <w:pStyle w:val="TextBody"/>
        <w:bidi w:val="0"/>
        <w:jc w:val="left"/>
        <w:rPr/>
      </w:pPr>
      <w:r>
        <w:rPr/>
        <w:t> </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301"/>
        <w:gridCol w:w="2671"/>
      </w:tblGrid>
      <w:tr>
        <w:trPr/>
        <w:tc>
          <w:tcPr>
            <w:tcW w:w="30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22</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125"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14" descr=""/>
                          <pic:cNvPicPr>
                            <a:picLocks noChangeAspect="1" noChangeArrowheads="1"/>
                          </pic:cNvPicPr>
                        </pic:nvPicPr>
                        <pic:blipFill>
                          <a:blip r:embed="rId118"/>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rFonts w:ascii="Montserrat;sans-serif" w:hAnsi="Montserrat;sans-serif"/>
          <w:color w:val="000000"/>
          <w:sz w:val="13"/>
        </w:rPr>
      </w:pPr>
      <w:r>
        <w:rPr>
          <w:rFonts w:ascii="Montserrat;sans-serif" w:hAnsi="Montserrat;sans-serif"/>
          <w:color w:val="000000"/>
          <w:sz w:val="13"/>
        </w:rPr>
        <w:t>Corporate Governance</w:t>
      </w:r>
    </w:p>
    <w:p>
      <w:pPr>
        <w:pStyle w:val="TextBody"/>
        <w:bidi w:val="0"/>
        <w:spacing w:before="60" w:after="283"/>
        <w:jc w:val="right"/>
        <w:rPr>
          <w:rFonts w:ascii="Montserrat;sans-serif" w:hAnsi="Montserrat;sans-serif"/>
          <w:color w:val="000000"/>
          <w:sz w:val="12"/>
        </w:rPr>
      </w:pPr>
      <w:r>
        <w:rPr>
          <w:rFonts w:ascii="Montserrat;sans-serif" w:hAnsi="Montserrat;sans-serif"/>
          <w:color w:val="000000"/>
          <w:sz w:val="12"/>
        </w:rPr>
        <w:t>Proposal 1: Election of Directors</w:t>
      </w:r>
    </w:p>
    <w:p>
      <w:pPr>
        <w:pStyle w:val="TextBody"/>
        <w:bidi w:val="0"/>
        <w:jc w:val="right"/>
        <w:rPr/>
      </w:pPr>
      <w:r>
        <w:rPr/>
        <w:t> </w:t>
      </w:r>
    </w:p>
    <w:p>
      <w:pPr>
        <w:pStyle w:val="TextBody"/>
        <w:bidi w:val="0"/>
        <w:jc w:val="righ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718"/>
        <w:gridCol w:w="4292"/>
        <w:gridCol w:w="4195"/>
      </w:tblGrid>
      <w:tr>
        <w:trPr/>
        <w:tc>
          <w:tcPr>
            <w:tcW w:w="1718" w:type="dxa"/>
            <w:tcBorders/>
            <w:vAlign w:val="center"/>
          </w:tcPr>
          <w:p>
            <w:pPr>
              <w:pStyle w:val="TableContents"/>
              <w:bidi w:val="0"/>
              <w:spacing w:before="0" w:after="283"/>
              <w:jc w:val="left"/>
              <w:rPr>
                <w:sz w:val="4"/>
                <w:szCs w:val="4"/>
              </w:rPr>
            </w:pPr>
            <w:r>
              <w:rPr>
                <w:sz w:val="4"/>
                <w:szCs w:val="4"/>
              </w:rPr>
            </w:r>
          </w:p>
        </w:tc>
        <w:tc>
          <w:tcPr>
            <w:tcW w:w="4292" w:type="dxa"/>
            <w:tcBorders/>
            <w:vAlign w:val="center"/>
          </w:tcPr>
          <w:p>
            <w:pPr>
              <w:pStyle w:val="TableContents"/>
              <w:bidi w:val="0"/>
              <w:spacing w:before="0" w:after="283"/>
              <w:jc w:val="left"/>
              <w:rPr>
                <w:sz w:val="4"/>
                <w:szCs w:val="4"/>
              </w:rPr>
            </w:pPr>
            <w:r>
              <w:rPr>
                <w:sz w:val="4"/>
                <w:szCs w:val="4"/>
              </w:rPr>
            </w:r>
          </w:p>
        </w:tc>
        <w:tc>
          <w:tcPr>
            <w:tcW w:w="4195" w:type="dxa"/>
            <w:tcBorders/>
            <w:vAlign w:val="center"/>
          </w:tcPr>
          <w:p>
            <w:pPr>
              <w:pStyle w:val="TableContents"/>
              <w:bidi w:val="0"/>
              <w:spacing w:before="0" w:after="283"/>
              <w:jc w:val="left"/>
              <w:rPr>
                <w:sz w:val="4"/>
                <w:szCs w:val="4"/>
              </w:rPr>
            </w:pPr>
            <w:r>
              <w:rPr>
                <w:sz w:val="4"/>
                <w:szCs w:val="4"/>
              </w:rPr>
            </w:r>
          </w:p>
        </w:tc>
      </w:tr>
      <w:tr>
        <w:trPr/>
        <w:tc>
          <w:tcPr>
            <w:tcW w:w="1718" w:type="dxa"/>
            <w:vMerge w:val="restart"/>
            <w:tcBorders>
              <w:bottom w:val="single" w:sz="4" w:space="0" w:color="7855FA"/>
            </w:tcBorders>
            <w:tcMar>
              <w:top w:w="0" w:type="dxa"/>
              <w:left w:w="0" w:type="dxa"/>
              <w:right w:w="0" w:type="dxa"/>
            </w:tcMar>
            <w:vAlign w:val="center"/>
          </w:tcPr>
          <w:p>
            <w:pPr>
              <w:pStyle w:val="TableContents"/>
              <w:bidi w:val="0"/>
              <w:spacing w:before="120" w:after="283"/>
              <w:jc w:val="left"/>
              <w:rPr/>
            </w:pPr>
            <w:r>
              <w:rPr/>
              <w:drawing>
                <wp:inline distT="0" distB="0" distL="0" distR="0">
                  <wp:extent cx="647700" cy="657225"/>
                  <wp:effectExtent l="0" t="0" r="0" b="0"/>
                  <wp:docPr id="126"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15" descr=""/>
                          <pic:cNvPicPr>
                            <a:picLocks noChangeAspect="1" noChangeArrowheads="1"/>
                          </pic:cNvPicPr>
                        </pic:nvPicPr>
                        <pic:blipFill>
                          <a:blip r:embed="rId119"/>
                          <a:stretch>
                            <a:fillRect/>
                          </a:stretch>
                        </pic:blipFill>
                        <pic:spPr bwMode="auto">
                          <a:xfrm>
                            <a:off x="0" y="0"/>
                            <a:ext cx="647700" cy="657225"/>
                          </a:xfrm>
                          <a:prstGeom prst="rect">
                            <a:avLst/>
                          </a:prstGeom>
                        </pic:spPr>
                      </pic:pic>
                    </a:graphicData>
                  </a:graphic>
                </wp:inline>
              </w:drawing>
            </w:r>
          </w:p>
        </w:tc>
        <w:tc>
          <w:tcPr>
            <w:tcW w:w="4292" w:type="dxa"/>
            <w:tcBorders>
              <w:bottom w:val="single" w:sz="4" w:space="0" w:color="7855FA"/>
            </w:tcBorders>
            <w:tcMar>
              <w:top w:w="0" w:type="dxa"/>
              <w:left w:w="0" w:type="dxa"/>
              <w:right w:w="0" w:type="dxa"/>
            </w:tcMar>
            <w:vAlign w:val="center"/>
          </w:tcPr>
          <w:p>
            <w:pPr>
              <w:pStyle w:val="TableContents"/>
              <w:bidi w:val="0"/>
              <w:spacing w:before="0" w:after="60"/>
              <w:jc w:val="left"/>
              <w:rPr>
                <w:rFonts w:ascii="Montserrat;sans-serif" w:hAnsi="Montserrat;sans-serif"/>
                <w:b/>
                <w:color w:val="7855FA"/>
                <w:sz w:val="20"/>
              </w:rPr>
            </w:pPr>
            <w:r>
              <w:rPr>
                <w:rFonts w:ascii="Montserrat;sans-serif" w:hAnsi="Montserrat;sans-serif"/>
                <w:b/>
                <w:color w:val="7855FA"/>
                <w:sz w:val="20"/>
              </w:rPr>
              <w:t>Virginia Gambale</w:t>
            </w:r>
          </w:p>
        </w:tc>
        <w:tc>
          <w:tcPr>
            <w:tcW w:w="4195" w:type="dxa"/>
            <w:tcBorders>
              <w:bottom w:val="single" w:sz="4" w:space="0" w:color="7855FA"/>
            </w:tcBorders>
            <w:tcMar>
              <w:top w:w="0" w:type="dxa"/>
              <w:left w:w="0" w:type="dxa"/>
              <w:right w:w="0" w:type="dxa"/>
            </w:tcMar>
            <w:vAlign w:val="center"/>
          </w:tcPr>
          <w:p>
            <w:pPr>
              <w:pStyle w:val="TableContents"/>
              <w:bidi w:val="0"/>
              <w:spacing w:before="0" w:after="60"/>
              <w:jc w:val="left"/>
              <w:rPr/>
            </w:pPr>
            <w:r>
              <w:rPr/>
              <w:t> </w:t>
            </w:r>
          </w:p>
        </w:tc>
      </w:tr>
      <w:tr>
        <w:trPr/>
        <w:tc>
          <w:tcPr>
            <w:tcW w:w="1718" w:type="dxa"/>
            <w:vMerge w:val="continue"/>
            <w:tcBorders>
              <w:bottom w:val="single" w:sz="4" w:space="0" w:color="7855FA"/>
            </w:tcBorders>
            <w:tcMar>
              <w:top w:w="0" w:type="dxa"/>
              <w:left w:w="0" w:type="dxa"/>
              <w:right w:w="0" w:type="dxa"/>
            </w:tcMar>
            <w:vAlign w:val="center"/>
          </w:tcPr>
          <w:p>
            <w:pPr>
              <w:pStyle w:val="Normal"/>
              <w:bidi w:val="0"/>
              <w:jc w:val="left"/>
              <w:rPr/>
            </w:pPr>
            <w:r>
              <w:rPr/>
            </w:r>
          </w:p>
        </w:tc>
        <w:tc>
          <w:tcPr>
            <w:tcW w:w="4292" w:type="dxa"/>
            <w:tcBorders>
              <w:bottom w:val="single" w:sz="4" w:space="0" w:color="7855FA"/>
            </w:tcBorders>
            <w:tcMar>
              <w:top w:w="0" w:type="dxa"/>
              <w:left w:w="0" w:type="dxa"/>
              <w:right w:w="0" w:type="dxa"/>
            </w:tcMar>
            <w:vAlign w:val="center"/>
          </w:tcPr>
          <w:p>
            <w:pPr>
              <w:pStyle w:val="TableContents"/>
              <w:bidi w:val="0"/>
              <w:spacing w:before="120" w:after="283"/>
              <w:jc w:val="left"/>
              <w:rPr>
                <w:rFonts w:ascii="Montserrat Medium;sans-serif" w:hAnsi="Montserrat Medium;sans-serif"/>
                <w:sz w:val="18"/>
              </w:rPr>
            </w:pPr>
            <w:r>
              <w:rPr>
                <w:rFonts w:ascii="Montserrat;Montserrat Medium;sans-serif" w:hAnsi="Montserrat;Montserrat Medium;sans-serif"/>
                <w:b/>
                <w:color w:val="7855FA"/>
                <w:sz w:val="18"/>
              </w:rPr>
              <w:t>Age:</w:t>
            </w:r>
            <w:r>
              <w:rPr>
                <w:rFonts w:ascii="Montserrat Medium;sans-serif" w:hAnsi="Montserrat Medium;sans-serif"/>
                <w:color w:val="6C60A5"/>
                <w:sz w:val="18"/>
              </w:rPr>
              <w:t xml:space="preserve"> </w:t>
            </w:r>
            <w:r>
              <w:rPr>
                <w:rFonts w:ascii="Montserrat;Montserrat Medium;sans-serif" w:hAnsi="Montserrat;Montserrat Medium;sans-serif"/>
                <w:b/>
                <w:color w:val="000000"/>
                <w:sz w:val="18"/>
              </w:rPr>
              <w:t>67</w:t>
            </w:r>
          </w:p>
          <w:p>
            <w:pPr>
              <w:pStyle w:val="TableContents"/>
              <w:bidi w:val="0"/>
              <w:spacing w:before="60" w:after="283"/>
              <w:jc w:val="left"/>
              <w:rPr>
                <w:rFonts w:ascii="Montserrat Medium;sans-serif" w:hAnsi="Montserrat Medium;sans-serif"/>
                <w:sz w:val="18"/>
              </w:rPr>
            </w:pPr>
            <w:r>
              <w:rPr>
                <w:rFonts w:ascii="Montserrat;Montserrat Medium;sans-serif" w:hAnsi="Montserrat;Montserrat Medium;sans-serif"/>
                <w:b/>
                <w:color w:val="7855FA"/>
                <w:sz w:val="18"/>
              </w:rPr>
              <w:t>Director since:</w:t>
            </w:r>
            <w:r>
              <w:rPr>
                <w:rFonts w:ascii="Montserrat Medium;sans-serif" w:hAnsi="Montserrat Medium;sans-serif"/>
                <w:color w:val="6C60A5"/>
                <w:sz w:val="18"/>
              </w:rPr>
              <w:t xml:space="preserve"> </w:t>
            </w:r>
            <w:r>
              <w:rPr>
                <w:rFonts w:ascii="Montserrat;Montserrat Medium;sans-serif" w:hAnsi="Montserrat;Montserrat Medium;sans-serif"/>
                <w:b/>
                <w:color w:val="000000"/>
                <w:sz w:val="18"/>
              </w:rPr>
              <w:t>2020</w:t>
            </w:r>
          </w:p>
          <w:p>
            <w:pPr>
              <w:pStyle w:val="TableContents"/>
              <w:bidi w:val="0"/>
              <w:spacing w:before="120" w:after="283"/>
              <w:jc w:val="left"/>
              <w:rPr>
                <w:rFonts w:ascii="Montserrat;sans-serif" w:hAnsi="Montserrat;sans-serif"/>
                <w:b/>
                <w:color w:val="000000"/>
                <w:sz w:val="18"/>
              </w:rPr>
            </w:pPr>
            <w:r>
              <w:rPr>
                <w:rFonts w:ascii="Montserrat;sans-serif" w:hAnsi="Montserrat;sans-serif"/>
                <w:b/>
                <w:color w:val="000000"/>
                <w:sz w:val="18"/>
              </w:rPr>
              <w:t>Independent Chair of the Board since June 2021</w:t>
            </w:r>
          </w:p>
          <w:p>
            <w:pPr>
              <w:pStyle w:val="TableContents"/>
              <w:bidi w:val="0"/>
              <w:spacing w:before="120" w:after="283"/>
              <w:jc w:val="left"/>
              <w:rPr>
                <w:rFonts w:ascii="Montserrat;sans-serif" w:hAnsi="Montserrat;sans-serif"/>
                <w:b/>
                <w:color w:val="7855FA"/>
                <w:sz w:val="18"/>
              </w:rPr>
            </w:pPr>
            <w:r>
              <w:rPr>
                <w:rFonts w:ascii="Montserrat;sans-serif" w:hAnsi="Montserrat;sans-serif"/>
                <w:b/>
                <w:color w:val="7855FA"/>
                <w:sz w:val="18"/>
              </w:rPr>
              <w:t>Board Committees:</w:t>
            </w:r>
          </w:p>
          <w:p>
            <w:pPr>
              <w:pStyle w:val="TableContents"/>
              <w:bidi w:val="0"/>
              <w:spacing w:before="0" w:after="60"/>
              <w:jc w:val="left"/>
              <w:rPr>
                <w:color w:val="7855FA"/>
              </w:rPr>
            </w:pPr>
            <w:r>
              <w:rPr>
                <w:color w:val="7855FA"/>
              </w:rPr>
              <w:t>•</w:t>
            </w:r>
          </w:p>
          <w:p>
            <w:pPr>
              <w:pStyle w:val="TableContents"/>
              <w:bidi w:val="0"/>
              <w:spacing w:before="0" w:after="60"/>
              <w:jc w:val="left"/>
              <w:rPr>
                <w:rFonts w:ascii="Montserrat;sans-serif" w:hAnsi="Montserrat;sans-serif"/>
                <w:color w:val="000000"/>
                <w:sz w:val="18"/>
              </w:rPr>
            </w:pPr>
            <w:r>
              <w:rPr>
                <w:rFonts w:ascii="Montserrat;sans-serif" w:hAnsi="Montserrat;sans-serif"/>
                <w:color w:val="000000"/>
                <w:sz w:val="18"/>
              </w:rPr>
              <w:t>Nominating and Corporate Governance (Chair)</w:t>
            </w:r>
          </w:p>
        </w:tc>
        <w:tc>
          <w:tcPr>
            <w:tcW w:w="4195" w:type="dxa"/>
            <w:tcBorders>
              <w:bottom w:val="single" w:sz="4" w:space="0" w:color="7855FA"/>
            </w:tcBorders>
            <w:tcMar>
              <w:top w:w="0" w:type="dxa"/>
              <w:left w:w="0" w:type="dxa"/>
              <w:right w:w="0" w:type="dxa"/>
            </w:tcMar>
            <w:vAlign w:val="center"/>
          </w:tcPr>
          <w:p>
            <w:pPr>
              <w:pStyle w:val="TableContents"/>
              <w:bidi w:val="0"/>
              <w:spacing w:before="120" w:after="283"/>
              <w:jc w:val="left"/>
              <w:rPr>
                <w:rFonts w:ascii="Montserrat;sans-serif" w:hAnsi="Montserrat;sans-serif"/>
                <w:b/>
                <w:color w:val="7855FA"/>
                <w:sz w:val="18"/>
              </w:rPr>
            </w:pPr>
            <w:r>
              <w:rPr>
                <w:rFonts w:ascii="Montserrat;sans-serif" w:hAnsi="Montserrat;sans-serif"/>
                <w:b/>
                <w:color w:val="7855FA"/>
                <w:sz w:val="18"/>
              </w:rPr>
              <w:t>Other public boards during the past five years:</w:t>
            </w:r>
          </w:p>
          <w:p>
            <w:pPr>
              <w:pStyle w:val="TableContents"/>
              <w:bidi w:val="0"/>
              <w:spacing w:before="0" w:after="0"/>
              <w:jc w:val="left"/>
              <w:rPr>
                <w:color w:val="7855FA"/>
              </w:rPr>
            </w:pPr>
            <w:r>
              <w:rPr>
                <w:color w:val="7855FA"/>
              </w:rPr>
              <w:t>•</w:t>
            </w:r>
          </w:p>
          <w:p>
            <w:pPr>
              <w:pStyle w:val="TableContents"/>
              <w:bidi w:val="0"/>
              <w:spacing w:before="0" w:after="0"/>
              <w:jc w:val="left"/>
              <w:rPr>
                <w:rFonts w:ascii="Montserrat;sans-serif" w:hAnsi="Montserrat;sans-serif"/>
                <w:color w:val="000000"/>
                <w:sz w:val="18"/>
              </w:rPr>
            </w:pPr>
            <w:r>
              <w:rPr>
                <w:rFonts w:ascii="Montserrat;sans-serif" w:hAnsi="Montserrat;sans-serif"/>
                <w:color w:val="000000"/>
                <w:sz w:val="18"/>
              </w:rPr>
              <w:t>Avalanche Treasury Co. (since 2026)</w:t>
            </w:r>
          </w:p>
          <w:p>
            <w:pPr>
              <w:pStyle w:val="TableContents"/>
              <w:bidi w:val="0"/>
              <w:spacing w:before="0" w:after="0"/>
              <w:jc w:val="left"/>
              <w:rPr>
                <w:color w:val="7855FA"/>
              </w:rPr>
            </w:pPr>
            <w:r>
              <w:rPr>
                <w:color w:val="7855FA"/>
              </w:rPr>
              <w:t>•</w:t>
            </w:r>
          </w:p>
          <w:p>
            <w:pPr>
              <w:pStyle w:val="TableContents"/>
              <w:bidi w:val="0"/>
              <w:spacing w:before="0" w:after="0"/>
              <w:jc w:val="left"/>
              <w:rPr>
                <w:rFonts w:ascii="Montserrat;sans-serif" w:hAnsi="Montserrat;sans-serif"/>
                <w:color w:val="000000"/>
                <w:sz w:val="18"/>
              </w:rPr>
            </w:pPr>
            <w:r>
              <w:rPr>
                <w:rFonts w:ascii="Montserrat;sans-serif" w:hAnsi="Montserrat;sans-serif"/>
                <w:color w:val="000000"/>
                <w:sz w:val="18"/>
              </w:rPr>
              <w:t>EVERTEC, Inc. (since 2023)</w:t>
            </w:r>
          </w:p>
          <w:p>
            <w:pPr>
              <w:pStyle w:val="TableContents"/>
              <w:bidi w:val="0"/>
              <w:spacing w:before="0" w:after="0"/>
              <w:jc w:val="left"/>
              <w:rPr>
                <w:color w:val="594DFF"/>
              </w:rPr>
            </w:pPr>
            <w:r>
              <w:rPr>
                <w:color w:val="594DFF"/>
              </w:rPr>
              <w:t>•</w:t>
            </w:r>
          </w:p>
          <w:p>
            <w:pPr>
              <w:pStyle w:val="TableContents"/>
              <w:bidi w:val="0"/>
              <w:spacing w:before="0" w:after="0"/>
              <w:jc w:val="left"/>
              <w:rPr>
                <w:rFonts w:ascii="Montserrat;sans-serif" w:hAnsi="Montserrat;sans-serif"/>
                <w:color w:val="000000"/>
                <w:sz w:val="18"/>
              </w:rPr>
            </w:pPr>
            <w:r>
              <w:rPr>
                <w:rFonts w:ascii="Montserrat;sans-serif" w:hAnsi="Montserrat;sans-serif"/>
                <w:color w:val="000000"/>
                <w:sz w:val="18"/>
              </w:rPr>
              <w:t>Virtu Financial, Inc. (since 2020)</w:t>
            </w:r>
          </w:p>
          <w:p>
            <w:pPr>
              <w:pStyle w:val="TableContents"/>
              <w:bidi w:val="0"/>
              <w:spacing w:before="0" w:after="0"/>
              <w:jc w:val="left"/>
              <w:rPr>
                <w:color w:val="7855FA"/>
              </w:rPr>
            </w:pPr>
            <w:r>
              <w:rPr>
                <w:color w:val="7855FA"/>
              </w:rPr>
              <w:t>•</w:t>
            </w:r>
          </w:p>
          <w:p>
            <w:pPr>
              <w:pStyle w:val="TableContents"/>
              <w:bidi w:val="0"/>
              <w:spacing w:before="0" w:after="0"/>
              <w:jc w:val="left"/>
              <w:rPr>
                <w:rFonts w:ascii="Montserrat;sans-serif" w:hAnsi="Montserrat;sans-serif"/>
                <w:color w:val="000000"/>
                <w:sz w:val="18"/>
              </w:rPr>
            </w:pPr>
            <w:r>
              <w:rPr>
                <w:rFonts w:ascii="Montserrat;sans-serif" w:hAnsi="Montserrat;sans-serif"/>
                <w:color w:val="000000"/>
                <w:sz w:val="18"/>
              </w:rPr>
              <w:t>Jamf Holding Corp. (2021-2025)</w:t>
            </w:r>
          </w:p>
          <w:p>
            <w:pPr>
              <w:pStyle w:val="TableContents"/>
              <w:bidi w:val="0"/>
              <w:spacing w:before="0" w:after="0"/>
              <w:jc w:val="left"/>
              <w:rPr>
                <w:color w:val="7855FA"/>
              </w:rPr>
            </w:pPr>
            <w:r>
              <w:rPr>
                <w:color w:val="7855FA"/>
              </w:rPr>
              <w:t>•</w:t>
            </w:r>
          </w:p>
          <w:p>
            <w:pPr>
              <w:pStyle w:val="TableContents"/>
              <w:bidi w:val="0"/>
              <w:spacing w:before="0" w:after="0"/>
              <w:jc w:val="left"/>
              <w:rPr>
                <w:rFonts w:ascii="Montserrat;sans-serif" w:hAnsi="Montserrat;sans-serif"/>
                <w:color w:val="000000"/>
                <w:sz w:val="18"/>
              </w:rPr>
            </w:pPr>
            <w:r>
              <w:rPr>
                <w:rFonts w:ascii="Montserrat;sans-serif" w:hAnsi="Montserrat;sans-serif"/>
                <w:color w:val="000000"/>
                <w:sz w:val="18"/>
              </w:rPr>
              <w:t>FD Technologies plc (2015-2023)</w:t>
            </w:r>
          </w:p>
          <w:p>
            <w:pPr>
              <w:pStyle w:val="TableContents"/>
              <w:bidi w:val="0"/>
              <w:spacing w:before="0" w:after="0"/>
              <w:jc w:val="left"/>
              <w:rPr>
                <w:color w:val="7855FA"/>
              </w:rPr>
            </w:pPr>
            <w:r>
              <w:rPr>
                <w:color w:val="7855FA"/>
              </w:rPr>
              <w:t>•</w:t>
            </w:r>
          </w:p>
          <w:p>
            <w:pPr>
              <w:pStyle w:val="TableContents"/>
              <w:bidi w:val="0"/>
              <w:spacing w:before="0" w:after="0"/>
              <w:jc w:val="left"/>
              <w:rPr>
                <w:rFonts w:ascii="Montserrat;sans-serif" w:hAnsi="Montserrat;sans-serif"/>
                <w:color w:val="000000"/>
                <w:sz w:val="18"/>
              </w:rPr>
            </w:pPr>
            <w:r>
              <w:rPr>
                <w:rFonts w:ascii="Montserrat;sans-serif" w:hAnsi="Montserrat;sans-serif"/>
                <w:color w:val="000000"/>
                <w:sz w:val="18"/>
              </w:rPr>
              <w:t>Regis Corporation (2018-2021)</w:t>
            </w:r>
          </w:p>
          <w:p>
            <w:pPr>
              <w:pStyle w:val="TableContents"/>
              <w:bidi w:val="0"/>
              <w:spacing w:before="0" w:after="60"/>
              <w:jc w:val="left"/>
              <w:rPr>
                <w:color w:val="7855FA"/>
              </w:rPr>
            </w:pPr>
            <w:r>
              <w:rPr>
                <w:color w:val="7855FA"/>
              </w:rPr>
              <w:t>•</w:t>
            </w:r>
          </w:p>
          <w:p>
            <w:pPr>
              <w:pStyle w:val="TableContents"/>
              <w:bidi w:val="0"/>
              <w:spacing w:before="0" w:after="60"/>
              <w:jc w:val="left"/>
              <w:rPr>
                <w:rFonts w:ascii="Montserrat;sans-serif" w:hAnsi="Montserrat;sans-serif"/>
                <w:color w:val="000000"/>
                <w:sz w:val="18"/>
              </w:rPr>
            </w:pPr>
            <w:r>
              <w:rPr>
                <w:rFonts w:ascii="Montserrat;sans-serif" w:hAnsi="Montserrat;sans-serif"/>
                <w:color w:val="000000"/>
                <w:sz w:val="18"/>
              </w:rPr>
              <w:t>JetBlue Airways Corporation (2006-2021)</w:t>
            </w:r>
          </w:p>
        </w:tc>
      </w:tr>
      <w:tr>
        <w:trPr/>
        <w:tc>
          <w:tcPr>
            <w:tcW w:w="10205" w:type="dxa"/>
            <w:gridSpan w:val="3"/>
            <w:tcBorders>
              <w:bottom w:val="single" w:sz="4" w:space="0" w:color="7855FA"/>
            </w:tcBorders>
            <w:tcMar>
              <w:top w:w="0" w:type="dxa"/>
              <w:left w:w="0" w:type="dxa"/>
              <w:right w:w="0" w:type="dxa"/>
            </w:tcMar>
            <w:vAlign w:val="center"/>
          </w:tcPr>
          <w:p>
            <w:pPr>
              <w:pStyle w:val="TableContents"/>
              <w:bidi w:val="0"/>
              <w:spacing w:before="120" w:after="283"/>
              <w:jc w:val="left"/>
              <w:rPr>
                <w:rFonts w:ascii="Montserrat;sans-serif" w:hAnsi="Montserrat;sans-serif"/>
                <w:b/>
                <w:color w:val="7855FA"/>
                <w:sz w:val="18"/>
              </w:rPr>
            </w:pPr>
            <w:r>
              <w:rPr>
                <w:rFonts w:ascii="Montserrat;sans-serif" w:hAnsi="Montserrat;sans-serif"/>
                <w:b/>
                <w:color w:val="7855FA"/>
                <w:sz w:val="18"/>
              </w:rPr>
              <w:t>Professional background</w:t>
            </w:r>
          </w:p>
          <w:p>
            <w:pPr>
              <w:pStyle w:val="TableContents"/>
              <w:bidi w:val="0"/>
              <w:spacing w:before="120" w:after="283"/>
              <w:jc w:val="both"/>
              <w:rPr>
                <w:rFonts w:ascii="Montserrat;sans-serif" w:hAnsi="Montserrat;sans-serif"/>
                <w:color w:val="000000"/>
                <w:sz w:val="18"/>
              </w:rPr>
            </w:pPr>
            <w:r>
              <w:rPr>
                <w:rFonts w:ascii="Montserrat;sans-serif" w:hAnsi="Montserrat;sans-serif"/>
                <w:color w:val="000000"/>
                <w:sz w:val="18"/>
              </w:rPr>
              <w:t xml:space="preserve">Ms. Gambale is a seasoned technology leader, investor, and board member with over four decades of experience in enterprise software, data platforms, and cybersecurity. She is Managing Partner of Azimuth Partners LLC, a technology advisory firm focused on the adoption of emerging technologies including AI, cloud infrastructure, and data platforms. A former senior operating executive of global corporations, Ms. Gambale held senior management positions, including CIO and Managing Director, at Merrill Lynch, Bankers Trust, Deutsche Bank, and Marsh &amp; McLennan. She was the Head of Deutsche Bank Strategic Ventures, and subsequently a General Partner at Deutsche Bank Capital and ABS Ventures, until founding Azimuth Partners in 2003. She has led global technology teams, overseen large-scale digital transformation initiatives, and advised companies on technology strategy, focused on adoption of disruptive technologies (e.g., Cloud, AI, ML, VR, data analytics, and interactive digital platforms) to assist with transformation or promote growth. </w:t>
            </w:r>
          </w:p>
          <w:p>
            <w:pPr>
              <w:pStyle w:val="TableContents"/>
              <w:bidi w:val="0"/>
              <w:spacing w:before="120" w:after="283"/>
              <w:jc w:val="both"/>
              <w:rPr>
                <w:rFonts w:ascii="Montserrat;sans-serif" w:hAnsi="Montserrat;sans-serif"/>
                <w:color w:val="000000"/>
                <w:sz w:val="18"/>
              </w:rPr>
            </w:pPr>
            <w:r>
              <w:rPr>
                <w:rFonts w:ascii="Montserrat;sans-serif" w:hAnsi="Montserrat;sans-serif"/>
                <w:color w:val="000000"/>
                <w:sz w:val="18"/>
              </w:rPr>
              <w:t xml:space="preserve">She has served on the boards of directors of Avalanche Treasury Co., a blockchain technology company, since 2026, EVERTEC, Inc., a financial technology company, since May 2023, and Virtu Financial, Inc., a financial services company, since January 2020. Ms. Gambale’s prior board service includes numerous international public and private boards, such as Jamf Holding Corp., an Apple device management and security company, from May 2021 to June 2025, FD Technologies plc (formerly known as First Derivatives plc), a provider of software and consulting services, from March 2015 to December 2023, Core BTS, Regis Corporation, JetBlue Airways, Piper Jaffray, Workbrain, Synchronoss Technologies, IQ Financial, and Avellino Lab USA, Inc. Ms. Gambale has served on over 20 public and private boards, including companies in fintech, cybersecurity, cloud infrastructure, and enterprise software. Her board service includes frequent audit committee membership and she has chaired technology, nomination, and compensation committees. Ms. Gambale also serves as an Adjunct Professor at Columbia University, where she engages with CIOs and IT leaders through the Masters in Technology Leadership program. </w:t>
            </w:r>
          </w:p>
          <w:p>
            <w:pPr>
              <w:pStyle w:val="TableContents"/>
              <w:bidi w:val="0"/>
              <w:spacing w:before="120" w:after="283"/>
              <w:jc w:val="left"/>
              <w:rPr>
                <w:rFonts w:ascii="Montserrat;sans-serif" w:hAnsi="Montserrat;sans-serif"/>
                <w:b/>
                <w:color w:val="7855FA"/>
                <w:sz w:val="18"/>
              </w:rPr>
            </w:pPr>
            <w:r>
              <w:rPr>
                <w:rFonts w:ascii="Montserrat;sans-serif" w:hAnsi="Montserrat;sans-serif"/>
                <w:b/>
                <w:color w:val="7855FA"/>
                <w:sz w:val="18"/>
              </w:rPr>
              <w:t>Education</w:t>
            </w:r>
          </w:p>
          <w:p>
            <w:pPr>
              <w:pStyle w:val="TableContents"/>
              <w:bidi w:val="0"/>
              <w:spacing w:before="120" w:after="283"/>
              <w:jc w:val="both"/>
              <w:rPr>
                <w:rFonts w:ascii="Montserrat;sans-serif" w:hAnsi="Montserrat;sans-serif"/>
                <w:color w:val="000000"/>
                <w:sz w:val="18"/>
              </w:rPr>
            </w:pPr>
            <w:r>
              <w:rPr>
                <w:rFonts w:ascii="Montserrat;sans-serif" w:hAnsi="Montserrat;sans-serif"/>
                <w:color w:val="000000"/>
                <w:sz w:val="18"/>
              </w:rPr>
              <w:t>B.S. in Mathematics and Computer Science, New York Institute of Technology</w:t>
            </w:r>
          </w:p>
          <w:p>
            <w:pPr>
              <w:pStyle w:val="TableContents"/>
              <w:bidi w:val="0"/>
              <w:spacing w:before="120" w:after="283"/>
              <w:jc w:val="left"/>
              <w:rPr>
                <w:rFonts w:ascii="Montserrat;sans-serif" w:hAnsi="Montserrat;sans-serif"/>
                <w:b/>
                <w:color w:val="7855FA"/>
                <w:sz w:val="18"/>
              </w:rPr>
            </w:pPr>
            <w:r>
              <w:rPr>
                <w:rFonts w:ascii="Montserrat;sans-serif" w:hAnsi="Montserrat;sans-serif"/>
                <w:b/>
                <w:color w:val="7855FA"/>
                <w:sz w:val="18"/>
              </w:rPr>
              <w:t>Key skills and experience</w:t>
            </w:r>
          </w:p>
          <w:p>
            <w:pPr>
              <w:pStyle w:val="TableContents"/>
              <w:bidi w:val="0"/>
              <w:spacing w:before="120" w:after="60"/>
              <w:jc w:val="both"/>
              <w:rPr>
                <w:rFonts w:ascii="Montserrat;sans-serif" w:hAnsi="Montserrat;sans-serif"/>
                <w:color w:val="000000"/>
                <w:sz w:val="18"/>
              </w:rPr>
            </w:pPr>
            <w:r>
              <w:rPr>
                <w:rFonts w:ascii="Montserrat;sans-serif" w:hAnsi="Montserrat;sans-serif"/>
                <w:color w:val="000000"/>
                <w:sz w:val="18"/>
              </w:rPr>
              <w:t xml:space="preserve">Our Board believes Ms. Gambale is qualified to serve as a director based on her extensive leadership in technology and finance and expertise in enterprise technology, cybersecurity, and corporate governance. Her experience leading global operations and customer-centric innovation enhances the Board’s oversight of digital transformation, emerging technologies, and strategic alignment. Her governance roles across public companies and her background in finance and academia further support the Board’s ability to evaluate long-term growth, stakeholder engagement, and governance oversight. </w:t>
            </w:r>
          </w:p>
        </w:tc>
      </w:tr>
    </w:tbl>
    <w:p>
      <w:pPr>
        <w:pStyle w:val="TextBody"/>
        <w:bidi w:val="0"/>
        <w:jc w:val="left"/>
        <w:rPr/>
      </w:pPr>
      <w:r>
        <w:rPr/>
        <w:t> </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2641"/>
        <w:gridCol w:w="331"/>
      </w:tblGrid>
      <w:tr>
        <w:trPr/>
        <w:tc>
          <w:tcPr>
            <w:tcW w:w="26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127"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16" descr=""/>
                          <pic:cNvPicPr>
                            <a:picLocks noChangeAspect="1" noChangeArrowheads="1"/>
                          </pic:cNvPicPr>
                        </pic:nvPicPr>
                        <pic:blipFill>
                          <a:blip r:embed="rId120"/>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3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23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rFonts w:ascii="Montserrat;sans-serif" w:hAnsi="Montserrat;sans-serif"/>
          <w:color w:val="000000"/>
          <w:sz w:val="13"/>
        </w:rPr>
      </w:pPr>
      <w:r>
        <w:rPr>
          <w:rFonts w:ascii="Montserrat;sans-serif" w:hAnsi="Montserrat;sans-serif"/>
          <w:color w:val="000000"/>
          <w:sz w:val="13"/>
        </w:rPr>
        <w:t>Corporate Governance</w:t>
      </w:r>
    </w:p>
    <w:p>
      <w:pPr>
        <w:pStyle w:val="TextBody"/>
        <w:bidi w:val="0"/>
        <w:spacing w:before="60" w:after="283"/>
        <w:jc w:val="left"/>
        <w:rPr>
          <w:rFonts w:ascii="Montserrat;sans-serif" w:hAnsi="Montserrat;sans-serif"/>
          <w:color w:val="000000"/>
          <w:sz w:val="12"/>
        </w:rPr>
      </w:pPr>
      <w:r>
        <w:rPr>
          <w:rFonts w:ascii="Montserrat;sans-serif" w:hAnsi="Montserrat;sans-serif"/>
          <w:color w:val="000000"/>
          <w:sz w:val="12"/>
        </w:rPr>
        <w:t>Proposal 1: Election of Directors</w:t>
      </w:r>
    </w:p>
    <w:p>
      <w:pPr>
        <w:pStyle w:val="TextBody"/>
        <w:bidi w:val="0"/>
        <w:jc w:val="left"/>
        <w:rPr/>
      </w:pPr>
      <w:r>
        <w:rPr/>
        <w:t> </w:t>
      </w:r>
    </w:p>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809"/>
        <w:gridCol w:w="3823"/>
        <w:gridCol w:w="4573"/>
      </w:tblGrid>
      <w:tr>
        <w:trPr/>
        <w:tc>
          <w:tcPr>
            <w:tcW w:w="1809"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c>
          <w:tcPr>
            <w:tcW w:w="4573" w:type="dxa"/>
            <w:tcBorders/>
            <w:vAlign w:val="center"/>
          </w:tcPr>
          <w:p>
            <w:pPr>
              <w:pStyle w:val="TableContents"/>
              <w:bidi w:val="0"/>
              <w:spacing w:before="0" w:after="283"/>
              <w:jc w:val="left"/>
              <w:rPr>
                <w:sz w:val="4"/>
                <w:szCs w:val="4"/>
              </w:rPr>
            </w:pPr>
            <w:r>
              <w:rPr>
                <w:sz w:val="4"/>
                <w:szCs w:val="4"/>
              </w:rPr>
            </w:r>
          </w:p>
        </w:tc>
      </w:tr>
      <w:tr>
        <w:trPr/>
        <w:tc>
          <w:tcPr>
            <w:tcW w:w="1809" w:type="dxa"/>
            <w:vMerge w:val="restart"/>
            <w:tcBorders>
              <w:bottom w:val="single" w:sz="4" w:space="0" w:color="7855FA"/>
            </w:tcBorders>
            <w:tcMar>
              <w:top w:w="0" w:type="dxa"/>
              <w:left w:w="0" w:type="dxa"/>
              <w:right w:w="0" w:type="dxa"/>
            </w:tcMar>
            <w:vAlign w:val="center"/>
          </w:tcPr>
          <w:p>
            <w:pPr>
              <w:pStyle w:val="TableContents"/>
              <w:bidi w:val="0"/>
              <w:spacing w:before="120" w:after="283"/>
              <w:jc w:val="left"/>
              <w:rPr/>
            </w:pPr>
            <w:r>
              <w:rPr/>
              <w:drawing>
                <wp:inline distT="0" distB="0" distL="0" distR="0">
                  <wp:extent cx="647700" cy="657225"/>
                  <wp:effectExtent l="0" t="0" r="0" b="0"/>
                  <wp:docPr id="128"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17" descr=""/>
                          <pic:cNvPicPr>
                            <a:picLocks noChangeAspect="1" noChangeArrowheads="1"/>
                          </pic:cNvPicPr>
                        </pic:nvPicPr>
                        <pic:blipFill>
                          <a:blip r:embed="rId121"/>
                          <a:stretch>
                            <a:fillRect/>
                          </a:stretch>
                        </pic:blipFill>
                        <pic:spPr bwMode="auto">
                          <a:xfrm>
                            <a:off x="0" y="0"/>
                            <a:ext cx="647700" cy="657225"/>
                          </a:xfrm>
                          <a:prstGeom prst="rect">
                            <a:avLst/>
                          </a:prstGeom>
                        </pic:spPr>
                      </pic:pic>
                    </a:graphicData>
                  </a:graphic>
                </wp:inline>
              </w:drawing>
            </w:r>
          </w:p>
        </w:tc>
        <w:tc>
          <w:tcPr>
            <w:tcW w:w="3823" w:type="dxa"/>
            <w:tcBorders>
              <w:bottom w:val="single" w:sz="4" w:space="0" w:color="7855FA"/>
            </w:tcBorders>
            <w:tcMar>
              <w:top w:w="0" w:type="dxa"/>
              <w:left w:w="0" w:type="dxa"/>
              <w:right w:w="0" w:type="dxa"/>
            </w:tcMar>
            <w:vAlign w:val="center"/>
          </w:tcPr>
          <w:p>
            <w:pPr>
              <w:pStyle w:val="TableContents"/>
              <w:bidi w:val="0"/>
              <w:spacing w:before="0" w:after="60"/>
              <w:jc w:val="left"/>
              <w:rPr>
                <w:rFonts w:ascii="Montserrat;sans-serif" w:hAnsi="Montserrat;sans-serif"/>
                <w:b/>
                <w:color w:val="7855FA"/>
                <w:sz w:val="20"/>
              </w:rPr>
            </w:pPr>
            <w:r>
              <w:rPr>
                <w:rFonts w:ascii="Montserrat;sans-serif" w:hAnsi="Montserrat;sans-serif"/>
                <w:b/>
                <w:color w:val="7855FA"/>
                <w:sz w:val="20"/>
              </w:rPr>
              <w:t>Steven J. Gomo</w:t>
            </w:r>
          </w:p>
        </w:tc>
        <w:tc>
          <w:tcPr>
            <w:tcW w:w="4573" w:type="dxa"/>
            <w:tcBorders>
              <w:bottom w:val="single" w:sz="4" w:space="0" w:color="7855FA"/>
            </w:tcBorders>
            <w:tcMar>
              <w:top w:w="0" w:type="dxa"/>
              <w:left w:w="0" w:type="dxa"/>
              <w:right w:w="0" w:type="dxa"/>
            </w:tcMar>
            <w:vAlign w:val="center"/>
          </w:tcPr>
          <w:p>
            <w:pPr>
              <w:pStyle w:val="TableContents"/>
              <w:bidi w:val="0"/>
              <w:spacing w:before="0" w:after="60"/>
              <w:jc w:val="left"/>
              <w:rPr/>
            </w:pPr>
            <w:r>
              <w:rPr/>
              <w:t> </w:t>
            </w:r>
          </w:p>
        </w:tc>
      </w:tr>
      <w:tr>
        <w:trPr/>
        <w:tc>
          <w:tcPr>
            <w:tcW w:w="1809" w:type="dxa"/>
            <w:vMerge w:val="continue"/>
            <w:tcBorders>
              <w:bottom w:val="single" w:sz="4" w:space="0" w:color="7855FA"/>
            </w:tcBorders>
            <w:tcMar>
              <w:top w:w="0" w:type="dxa"/>
              <w:left w:w="0" w:type="dxa"/>
              <w:right w:w="0" w:type="dxa"/>
            </w:tcMar>
            <w:vAlign w:val="center"/>
          </w:tcPr>
          <w:p>
            <w:pPr>
              <w:pStyle w:val="Normal"/>
              <w:bidi w:val="0"/>
              <w:jc w:val="left"/>
              <w:rPr/>
            </w:pPr>
            <w:r>
              <w:rPr/>
            </w:r>
          </w:p>
        </w:tc>
        <w:tc>
          <w:tcPr>
            <w:tcW w:w="3823" w:type="dxa"/>
            <w:tcBorders>
              <w:bottom w:val="single" w:sz="4" w:space="0" w:color="7855FA"/>
            </w:tcBorders>
            <w:tcMar>
              <w:top w:w="0" w:type="dxa"/>
              <w:left w:w="0" w:type="dxa"/>
              <w:right w:w="0" w:type="dxa"/>
            </w:tcMar>
            <w:vAlign w:val="center"/>
          </w:tcPr>
          <w:p>
            <w:pPr>
              <w:pStyle w:val="TableContents"/>
              <w:bidi w:val="0"/>
              <w:spacing w:before="120" w:after="283"/>
              <w:jc w:val="left"/>
              <w:rPr>
                <w:rFonts w:ascii="Montserrat Medium;sans-serif" w:hAnsi="Montserrat Medium;sans-serif"/>
                <w:sz w:val="18"/>
              </w:rPr>
            </w:pPr>
            <w:r>
              <w:rPr>
                <w:rFonts w:ascii="Montserrat;Montserrat Medium;sans-serif" w:hAnsi="Montserrat;Montserrat Medium;sans-serif"/>
                <w:b/>
                <w:color w:val="7855FA"/>
                <w:sz w:val="18"/>
              </w:rPr>
              <w:t>Age:</w:t>
            </w:r>
            <w:r>
              <w:rPr>
                <w:rFonts w:ascii="Montserrat Medium;sans-serif" w:hAnsi="Montserrat Medium;sans-serif"/>
                <w:color w:val="6C60A5"/>
                <w:sz w:val="18"/>
              </w:rPr>
              <w:t xml:space="preserve"> </w:t>
            </w:r>
            <w:r>
              <w:rPr>
                <w:rFonts w:ascii="Montserrat;Montserrat Medium;sans-serif" w:hAnsi="Montserrat;Montserrat Medium;sans-serif"/>
                <w:b/>
                <w:color w:val="000000"/>
                <w:sz w:val="18"/>
              </w:rPr>
              <w:t>74</w:t>
            </w:r>
          </w:p>
          <w:p>
            <w:pPr>
              <w:pStyle w:val="TableContents"/>
              <w:bidi w:val="0"/>
              <w:spacing w:before="60" w:after="283"/>
              <w:jc w:val="left"/>
              <w:rPr>
                <w:rFonts w:ascii="Montserrat Medium;sans-serif" w:hAnsi="Montserrat Medium;sans-serif"/>
                <w:sz w:val="18"/>
              </w:rPr>
            </w:pPr>
            <w:r>
              <w:rPr>
                <w:rFonts w:ascii="Montserrat;Montserrat Medium;sans-serif" w:hAnsi="Montserrat;Montserrat Medium;sans-serif"/>
                <w:b/>
                <w:color w:val="7855FA"/>
                <w:sz w:val="18"/>
              </w:rPr>
              <w:t>Director since:</w:t>
            </w:r>
            <w:r>
              <w:rPr>
                <w:rFonts w:ascii="Montserrat Medium;sans-serif" w:hAnsi="Montserrat Medium;sans-serif"/>
                <w:color w:val="6C60A5"/>
                <w:sz w:val="18"/>
              </w:rPr>
              <w:t xml:space="preserve"> </w:t>
            </w:r>
            <w:r>
              <w:rPr>
                <w:rFonts w:ascii="Montserrat;Montserrat Medium;sans-serif" w:hAnsi="Montserrat;Montserrat Medium;sans-serif"/>
                <w:b/>
                <w:color w:val="000000"/>
                <w:sz w:val="18"/>
              </w:rPr>
              <w:t>2015</w:t>
            </w:r>
          </w:p>
          <w:p>
            <w:pPr>
              <w:pStyle w:val="TableContents"/>
              <w:bidi w:val="0"/>
              <w:spacing w:before="120" w:after="283"/>
              <w:jc w:val="left"/>
              <w:rPr>
                <w:rFonts w:ascii="Montserrat;sans-serif" w:hAnsi="Montserrat;sans-serif"/>
                <w:b/>
                <w:color w:val="000000"/>
                <w:sz w:val="18"/>
              </w:rPr>
            </w:pPr>
            <w:r>
              <w:rPr>
                <w:rFonts w:ascii="Montserrat;sans-serif" w:hAnsi="Montserrat;sans-serif"/>
                <w:b/>
                <w:color w:val="000000"/>
                <w:sz w:val="18"/>
              </w:rPr>
              <w:t>Independent</w:t>
            </w:r>
          </w:p>
          <w:p>
            <w:pPr>
              <w:pStyle w:val="TableContents"/>
              <w:bidi w:val="0"/>
              <w:spacing w:before="120" w:after="283"/>
              <w:jc w:val="left"/>
              <w:rPr>
                <w:rFonts w:ascii="Montserrat;sans-serif" w:hAnsi="Montserrat;sans-serif"/>
                <w:b/>
                <w:color w:val="7855FA"/>
                <w:sz w:val="18"/>
              </w:rPr>
            </w:pPr>
            <w:r>
              <w:rPr>
                <w:rFonts w:ascii="Montserrat;sans-serif" w:hAnsi="Montserrat;sans-serif"/>
                <w:b/>
                <w:color w:val="7855FA"/>
                <w:sz w:val="18"/>
              </w:rPr>
              <w:t>Board Committees:</w:t>
            </w:r>
          </w:p>
          <w:p>
            <w:pPr>
              <w:pStyle w:val="TableContents"/>
              <w:bidi w:val="0"/>
              <w:spacing w:before="0" w:after="0"/>
              <w:jc w:val="left"/>
              <w:rPr>
                <w:color w:val="7855FA"/>
              </w:rPr>
            </w:pPr>
            <w:r>
              <w:rPr>
                <w:color w:val="7855FA"/>
              </w:rPr>
              <w:t>•</w:t>
            </w:r>
          </w:p>
          <w:p>
            <w:pPr>
              <w:pStyle w:val="TableContents"/>
              <w:bidi w:val="0"/>
              <w:spacing w:before="0" w:after="0"/>
              <w:jc w:val="left"/>
              <w:rPr>
                <w:rFonts w:ascii="Montserrat;sans-serif" w:hAnsi="Montserrat;sans-serif"/>
                <w:color w:val="000000"/>
                <w:sz w:val="18"/>
              </w:rPr>
            </w:pPr>
            <w:r>
              <w:rPr>
                <w:rFonts w:ascii="Montserrat;sans-serif" w:hAnsi="Montserrat;sans-serif"/>
                <w:color w:val="000000"/>
                <w:sz w:val="18"/>
              </w:rPr>
              <w:t>Audit</w:t>
            </w:r>
          </w:p>
          <w:p>
            <w:pPr>
              <w:pStyle w:val="TableContents"/>
              <w:bidi w:val="0"/>
              <w:spacing w:before="0" w:after="60"/>
              <w:jc w:val="left"/>
              <w:rPr>
                <w:color w:val="7855FA"/>
              </w:rPr>
            </w:pPr>
            <w:r>
              <w:rPr>
                <w:color w:val="7855FA"/>
              </w:rPr>
              <w:t>•</w:t>
            </w:r>
          </w:p>
          <w:p>
            <w:pPr>
              <w:pStyle w:val="TableContents"/>
              <w:bidi w:val="0"/>
              <w:spacing w:before="0" w:after="60"/>
              <w:jc w:val="left"/>
              <w:rPr>
                <w:rFonts w:ascii="Montserrat;sans-serif" w:hAnsi="Montserrat;sans-serif"/>
                <w:color w:val="000000"/>
                <w:sz w:val="18"/>
              </w:rPr>
            </w:pPr>
            <w:r>
              <w:rPr>
                <w:rFonts w:ascii="Montserrat;sans-serif" w:hAnsi="Montserrat;sans-serif"/>
                <w:color w:val="000000"/>
                <w:sz w:val="18"/>
              </w:rPr>
              <w:t>Nominating and Corporate Governance</w:t>
            </w:r>
          </w:p>
        </w:tc>
        <w:tc>
          <w:tcPr>
            <w:tcW w:w="4573" w:type="dxa"/>
            <w:tcBorders>
              <w:bottom w:val="single" w:sz="4" w:space="0" w:color="7855FA"/>
            </w:tcBorders>
            <w:tcMar>
              <w:top w:w="0" w:type="dxa"/>
              <w:left w:w="0" w:type="dxa"/>
              <w:right w:w="0" w:type="dxa"/>
            </w:tcMar>
            <w:vAlign w:val="center"/>
          </w:tcPr>
          <w:p>
            <w:pPr>
              <w:pStyle w:val="TableContents"/>
              <w:bidi w:val="0"/>
              <w:spacing w:before="120" w:after="283"/>
              <w:jc w:val="left"/>
              <w:rPr>
                <w:rFonts w:ascii="Montserrat;sans-serif" w:hAnsi="Montserrat;sans-serif"/>
                <w:b/>
                <w:color w:val="7855FA"/>
                <w:sz w:val="18"/>
              </w:rPr>
            </w:pPr>
            <w:r>
              <w:rPr>
                <w:rFonts w:ascii="Montserrat;sans-serif" w:hAnsi="Montserrat;sans-serif"/>
                <w:b/>
                <w:color w:val="7855FA"/>
                <w:sz w:val="18"/>
              </w:rPr>
              <w:t>Other public boards during the past five years:</w:t>
            </w:r>
          </w:p>
          <w:p>
            <w:pPr>
              <w:pStyle w:val="TableContents"/>
              <w:bidi w:val="0"/>
              <w:spacing w:before="0" w:after="0"/>
              <w:jc w:val="left"/>
              <w:rPr>
                <w:color w:val="7855FA"/>
              </w:rPr>
            </w:pPr>
            <w:r>
              <w:rPr>
                <w:color w:val="7855FA"/>
              </w:rPr>
              <w:t>•</w:t>
            </w:r>
          </w:p>
          <w:p>
            <w:pPr>
              <w:pStyle w:val="TableContents"/>
              <w:bidi w:val="0"/>
              <w:spacing w:before="0" w:after="0"/>
              <w:jc w:val="left"/>
              <w:rPr>
                <w:rFonts w:ascii="Montserrat;sans-serif" w:hAnsi="Montserrat;sans-serif"/>
                <w:color w:val="000000"/>
                <w:sz w:val="18"/>
              </w:rPr>
            </w:pPr>
            <w:r>
              <w:rPr>
                <w:rFonts w:ascii="Montserrat;sans-serif" w:hAnsi="Montserrat;sans-serif"/>
                <w:color w:val="000000"/>
                <w:sz w:val="18"/>
              </w:rPr>
              <w:t>Enphase Energy, Inc. (since 2011)</w:t>
            </w:r>
          </w:p>
          <w:p>
            <w:pPr>
              <w:pStyle w:val="TableContents"/>
              <w:bidi w:val="0"/>
              <w:spacing w:before="0" w:after="0"/>
              <w:jc w:val="left"/>
              <w:rPr>
                <w:color w:val="7855FA"/>
              </w:rPr>
            </w:pPr>
            <w:r>
              <w:rPr>
                <w:color w:val="7855FA"/>
              </w:rPr>
              <w:t>•</w:t>
            </w:r>
          </w:p>
          <w:p>
            <w:pPr>
              <w:pStyle w:val="TableContents"/>
              <w:bidi w:val="0"/>
              <w:spacing w:before="0" w:after="0"/>
              <w:jc w:val="left"/>
              <w:rPr>
                <w:rFonts w:ascii="Montserrat;sans-serif" w:hAnsi="Montserrat;sans-serif"/>
                <w:color w:val="000000"/>
                <w:sz w:val="18"/>
              </w:rPr>
            </w:pPr>
            <w:r>
              <w:rPr>
                <w:rFonts w:ascii="Montserrat;sans-serif" w:hAnsi="Montserrat;sans-serif"/>
                <w:color w:val="000000"/>
                <w:sz w:val="18"/>
              </w:rPr>
              <w:t>Micron Technology, Inc. (since 2018)</w:t>
            </w:r>
          </w:p>
        </w:tc>
      </w:tr>
      <w:tr>
        <w:trPr/>
        <w:tc>
          <w:tcPr>
            <w:tcW w:w="10205" w:type="dxa"/>
            <w:gridSpan w:val="3"/>
            <w:tcBorders>
              <w:bottom w:val="single" w:sz="4" w:space="0" w:color="7855FA"/>
            </w:tcBorders>
            <w:tcMar>
              <w:top w:w="0" w:type="dxa"/>
              <w:left w:w="0" w:type="dxa"/>
              <w:right w:w="0" w:type="dxa"/>
            </w:tcMar>
            <w:vAlign w:val="center"/>
          </w:tcPr>
          <w:p>
            <w:pPr>
              <w:pStyle w:val="TableContents"/>
              <w:bidi w:val="0"/>
              <w:spacing w:before="120" w:after="283"/>
              <w:jc w:val="both"/>
              <w:rPr>
                <w:rFonts w:ascii="Montserrat;sans-serif" w:hAnsi="Montserrat;sans-serif"/>
                <w:b/>
                <w:color w:val="7855FA"/>
                <w:sz w:val="18"/>
              </w:rPr>
            </w:pPr>
            <w:r>
              <w:rPr>
                <w:rFonts w:ascii="Montserrat;sans-serif" w:hAnsi="Montserrat;sans-serif"/>
                <w:b/>
                <w:color w:val="7855FA"/>
                <w:sz w:val="18"/>
              </w:rPr>
              <w:t>Professional background</w:t>
            </w:r>
          </w:p>
          <w:p>
            <w:pPr>
              <w:pStyle w:val="TableContents"/>
              <w:bidi w:val="0"/>
              <w:spacing w:before="120" w:after="283"/>
              <w:jc w:val="both"/>
              <w:rPr>
                <w:rFonts w:ascii="Montserrat;sans-serif" w:hAnsi="Montserrat;sans-serif"/>
                <w:color w:val="000000"/>
                <w:sz w:val="18"/>
              </w:rPr>
            </w:pPr>
            <w:r>
              <w:rPr>
                <w:rFonts w:ascii="Montserrat;sans-serif" w:hAnsi="Montserrat;sans-serif"/>
                <w:color w:val="000000"/>
                <w:sz w:val="18"/>
              </w:rPr>
              <w:t>Mr. Gomo is a seasoned finance executive and public company director with over four decades of experience in corporate finance, governance, and operational leadership across the technology sector, including multinational enterprise software companies. He previously served as Executive Vice President and Chief Financial Officer of</w:t>
              <w:br/>
              <w:t xml:space="preserve">NetApp, Inc., a data management and storage company, from October 2004 to December 2011, and as its Senior Vice President and Chief Financial Officer from August 2002 to September 2004. In these leadership positions, Mr. Gomo oversaw NetApp’s global finance organization and drove enterprise-wide financial strategy, operational discipline, and governance excellence. His leadership contributed to NetApp’s operational scale-up and strategic growth during a period of significant expansion in the enterprise data management sector. Earlier in his career, Mr. Gomo held senior finance roles at Hewlett-Packard, where he gained deep expertise in financial reporting, capital allocation, and global operations. </w:t>
            </w:r>
          </w:p>
          <w:p>
            <w:pPr>
              <w:pStyle w:val="TableContents"/>
              <w:bidi w:val="0"/>
              <w:spacing w:before="120" w:after="283"/>
              <w:jc w:val="both"/>
              <w:rPr>
                <w:rFonts w:ascii="Montserrat;sans-serif" w:hAnsi="Montserrat;sans-serif"/>
                <w:color w:val="000000"/>
                <w:sz w:val="18"/>
              </w:rPr>
            </w:pPr>
            <w:r>
              <w:rPr>
                <w:rFonts w:ascii="Montserrat;sans-serif" w:hAnsi="Montserrat;sans-serif"/>
                <w:color w:val="000000"/>
                <w:sz w:val="18"/>
              </w:rPr>
              <w:t xml:space="preserve">Mr. Gomo has served on the boards of directors of Enphase Energy, Inc., a solar energy management company, since March 2011, serving as Chair of the Board since October 2022, and Micron Technology, Inc., a semiconductor manufacturer, since October 2018, where he chairs the Finance Committee and is a member of the Audit Committee. His prior board service includes Solaria Corporation, a solar energy products company, from October 2019 until May 2023, NetSuite Inc., a business management software company, from March 2012 until it was acquired by Oracle Corporation in November 2016, and SanDisk Corporation, a flash memory storage solutions and software company, from December 2005 until it was acquired by Western Digital Corporation in May 2016. Qualified as an audit committee financial expert, Mr. Gomo has chaired audit committees across multiple public companies, and his governance experience includes oversight of financial strategy, risk management, and regulatory compliance. </w:t>
            </w:r>
          </w:p>
          <w:p>
            <w:pPr>
              <w:pStyle w:val="TableContents"/>
              <w:bidi w:val="0"/>
              <w:spacing w:before="120" w:after="283"/>
              <w:jc w:val="both"/>
              <w:rPr>
                <w:rFonts w:ascii="Montserrat;sans-serif" w:hAnsi="Montserrat;sans-serif"/>
                <w:b/>
                <w:color w:val="7855FA"/>
                <w:sz w:val="18"/>
              </w:rPr>
            </w:pPr>
            <w:r>
              <w:rPr>
                <w:rFonts w:ascii="Montserrat;sans-serif" w:hAnsi="Montserrat;sans-serif"/>
                <w:b/>
                <w:color w:val="7855FA"/>
                <w:sz w:val="18"/>
              </w:rPr>
              <w:t>Education</w:t>
            </w:r>
          </w:p>
          <w:p>
            <w:pPr>
              <w:pStyle w:val="TableContents"/>
              <w:bidi w:val="0"/>
              <w:spacing w:before="120" w:after="283"/>
              <w:jc w:val="both"/>
              <w:rPr>
                <w:rFonts w:ascii="Montserrat;sans-serif" w:hAnsi="Montserrat;sans-serif"/>
                <w:color w:val="000000"/>
                <w:sz w:val="18"/>
              </w:rPr>
            </w:pPr>
            <w:r>
              <w:rPr>
                <w:rFonts w:ascii="Montserrat;sans-serif" w:hAnsi="Montserrat;sans-serif"/>
                <w:color w:val="000000"/>
                <w:sz w:val="18"/>
              </w:rPr>
              <w:t>B.S. in Business Administration, Oregon State University</w:t>
            </w:r>
          </w:p>
          <w:p>
            <w:pPr>
              <w:pStyle w:val="TableContents"/>
              <w:bidi w:val="0"/>
              <w:jc w:val="both"/>
              <w:rPr>
                <w:rFonts w:ascii="Montserrat;sans-serif" w:hAnsi="Montserrat;sans-serif"/>
                <w:color w:val="000000"/>
                <w:sz w:val="18"/>
              </w:rPr>
            </w:pPr>
            <w:r>
              <w:rPr>
                <w:rFonts w:ascii="Montserrat;sans-serif" w:hAnsi="Montserrat;sans-serif"/>
                <w:color w:val="000000"/>
                <w:sz w:val="18"/>
              </w:rPr>
              <w:t>M.B.A., Santa Clara University</w:t>
            </w:r>
          </w:p>
          <w:p>
            <w:pPr>
              <w:pStyle w:val="TableContents"/>
              <w:bidi w:val="0"/>
              <w:spacing w:before="120" w:after="283"/>
              <w:jc w:val="both"/>
              <w:rPr>
                <w:rFonts w:ascii="Montserrat;sans-serif" w:hAnsi="Montserrat;sans-serif"/>
                <w:b/>
                <w:color w:val="7855FA"/>
                <w:sz w:val="18"/>
              </w:rPr>
            </w:pPr>
            <w:r>
              <w:rPr>
                <w:rFonts w:ascii="Montserrat;sans-serif" w:hAnsi="Montserrat;sans-serif"/>
                <w:b/>
                <w:color w:val="7855FA"/>
                <w:sz w:val="18"/>
              </w:rPr>
              <w:t>Key skills and experience</w:t>
            </w:r>
          </w:p>
          <w:p>
            <w:pPr>
              <w:pStyle w:val="TableContents"/>
              <w:bidi w:val="0"/>
              <w:spacing w:before="120" w:after="60"/>
              <w:jc w:val="both"/>
              <w:rPr>
                <w:rFonts w:ascii="Montserrat;sans-serif" w:hAnsi="Montserrat;sans-serif"/>
                <w:color w:val="000000"/>
                <w:sz w:val="18"/>
              </w:rPr>
            </w:pPr>
            <w:r>
              <w:rPr>
                <w:rFonts w:ascii="Montserrat;sans-serif" w:hAnsi="Montserrat;sans-serif"/>
                <w:color w:val="000000"/>
                <w:sz w:val="18"/>
              </w:rPr>
              <w:t>Our Board believes Mr. Gomo is qualified to serve based on his extensive financial and operational leadership, including his tenure as CFO of a public technology company and other leadership experience in global finance roles at multinational companies. His deep expertise in financial reporting, audit oversight, and capital allocation in the software industry supports the Board’s oversight of financial governance, regulatory compliance, risk management, and shareholder returns. Mr. Gomo’s experience in managing financial performance and overseeing operational strategy enhances the Board’s oversight of strategic planning and operational scale.</w:t>
            </w:r>
          </w:p>
        </w:tc>
      </w:tr>
    </w:tbl>
    <w:p>
      <w:pPr>
        <w:pStyle w:val="TextBody"/>
        <w:bidi w:val="0"/>
        <w:jc w:val="left"/>
        <w:rPr/>
      </w:pPr>
      <w:r>
        <w:rPr/>
        <w:t> </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301"/>
        <w:gridCol w:w="2671"/>
      </w:tblGrid>
      <w:tr>
        <w:trPr/>
        <w:tc>
          <w:tcPr>
            <w:tcW w:w="30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24</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129"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18" descr=""/>
                          <pic:cNvPicPr>
                            <a:picLocks noChangeAspect="1" noChangeArrowheads="1"/>
                          </pic:cNvPicPr>
                        </pic:nvPicPr>
                        <pic:blipFill>
                          <a:blip r:embed="rId122"/>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rFonts w:ascii="Montserrat;sans-serif" w:hAnsi="Montserrat;sans-serif"/>
          <w:color w:val="000000"/>
          <w:sz w:val="13"/>
        </w:rPr>
      </w:pPr>
      <w:r>
        <w:rPr>
          <w:rFonts w:ascii="Montserrat;sans-serif" w:hAnsi="Montserrat;sans-serif"/>
          <w:color w:val="000000"/>
          <w:sz w:val="13"/>
        </w:rPr>
        <w:t>Corporate Governance</w:t>
      </w:r>
    </w:p>
    <w:p>
      <w:pPr>
        <w:pStyle w:val="TextBody"/>
        <w:bidi w:val="0"/>
        <w:spacing w:before="60" w:after="283"/>
        <w:jc w:val="right"/>
        <w:rPr>
          <w:rFonts w:ascii="Montserrat;sans-serif" w:hAnsi="Montserrat;sans-serif"/>
          <w:color w:val="000000"/>
          <w:sz w:val="12"/>
        </w:rPr>
      </w:pPr>
      <w:r>
        <w:rPr>
          <w:rFonts w:ascii="Montserrat;sans-serif" w:hAnsi="Montserrat;sans-serif"/>
          <w:color w:val="000000"/>
          <w:sz w:val="12"/>
        </w:rPr>
        <w:t>Proposal 1: Election of Directors</w:t>
      </w:r>
    </w:p>
    <w:p>
      <w:pPr>
        <w:pStyle w:val="TextBody"/>
        <w:bidi w:val="0"/>
        <w:jc w:val="right"/>
        <w:rPr/>
      </w:pPr>
      <w:r>
        <w:rPr/>
        <w:t> </w:t>
      </w:r>
    </w:p>
    <w:p>
      <w:pPr>
        <w:pStyle w:val="TextBody"/>
        <w:bidi w:val="0"/>
        <w:jc w:val="righ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979"/>
        <w:gridCol w:w="3103"/>
        <w:gridCol w:w="5123"/>
      </w:tblGrid>
      <w:tr>
        <w:trPr/>
        <w:tc>
          <w:tcPr>
            <w:tcW w:w="1979" w:type="dxa"/>
            <w:tcBorders/>
            <w:vAlign w:val="center"/>
          </w:tcPr>
          <w:p>
            <w:pPr>
              <w:pStyle w:val="TableContents"/>
              <w:bidi w:val="0"/>
              <w:spacing w:before="0" w:after="283"/>
              <w:jc w:val="left"/>
              <w:rPr>
                <w:sz w:val="4"/>
                <w:szCs w:val="4"/>
              </w:rPr>
            </w:pPr>
            <w:r>
              <w:rPr>
                <w:sz w:val="4"/>
                <w:szCs w:val="4"/>
              </w:rPr>
            </w:r>
          </w:p>
        </w:tc>
        <w:tc>
          <w:tcPr>
            <w:tcW w:w="3103" w:type="dxa"/>
            <w:tcBorders/>
            <w:vAlign w:val="center"/>
          </w:tcPr>
          <w:p>
            <w:pPr>
              <w:pStyle w:val="TableContents"/>
              <w:bidi w:val="0"/>
              <w:spacing w:before="0" w:after="283"/>
              <w:jc w:val="left"/>
              <w:rPr>
                <w:sz w:val="4"/>
                <w:szCs w:val="4"/>
              </w:rPr>
            </w:pPr>
            <w:r>
              <w:rPr>
                <w:sz w:val="4"/>
                <w:szCs w:val="4"/>
              </w:rPr>
            </w:r>
          </w:p>
        </w:tc>
        <w:tc>
          <w:tcPr>
            <w:tcW w:w="5123" w:type="dxa"/>
            <w:tcBorders/>
            <w:vAlign w:val="center"/>
          </w:tcPr>
          <w:p>
            <w:pPr>
              <w:pStyle w:val="TableContents"/>
              <w:bidi w:val="0"/>
              <w:spacing w:before="0" w:after="283"/>
              <w:jc w:val="left"/>
              <w:rPr>
                <w:sz w:val="4"/>
                <w:szCs w:val="4"/>
              </w:rPr>
            </w:pPr>
            <w:r>
              <w:rPr>
                <w:sz w:val="4"/>
                <w:szCs w:val="4"/>
              </w:rPr>
            </w:r>
          </w:p>
        </w:tc>
      </w:tr>
      <w:tr>
        <w:trPr/>
        <w:tc>
          <w:tcPr>
            <w:tcW w:w="1979" w:type="dxa"/>
            <w:vMerge w:val="restart"/>
            <w:tcBorders>
              <w:bottom w:val="single" w:sz="4" w:space="0" w:color="7855FA"/>
            </w:tcBorders>
            <w:tcMar>
              <w:top w:w="0" w:type="dxa"/>
              <w:left w:w="0" w:type="dxa"/>
              <w:right w:w="0" w:type="dxa"/>
            </w:tcMar>
            <w:vAlign w:val="center"/>
          </w:tcPr>
          <w:p>
            <w:pPr>
              <w:pStyle w:val="TableContents"/>
              <w:bidi w:val="0"/>
              <w:spacing w:before="120" w:after="283"/>
              <w:jc w:val="left"/>
              <w:rPr/>
            </w:pPr>
            <w:r>
              <w:rPr/>
              <w:drawing>
                <wp:inline distT="0" distB="0" distL="0" distR="0">
                  <wp:extent cx="647700" cy="657225"/>
                  <wp:effectExtent l="0" t="0" r="0" b="0"/>
                  <wp:docPr id="130"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19" descr=""/>
                          <pic:cNvPicPr>
                            <a:picLocks noChangeAspect="1" noChangeArrowheads="1"/>
                          </pic:cNvPicPr>
                        </pic:nvPicPr>
                        <pic:blipFill>
                          <a:blip r:embed="rId123"/>
                          <a:stretch>
                            <a:fillRect/>
                          </a:stretch>
                        </pic:blipFill>
                        <pic:spPr bwMode="auto">
                          <a:xfrm>
                            <a:off x="0" y="0"/>
                            <a:ext cx="647700" cy="657225"/>
                          </a:xfrm>
                          <a:prstGeom prst="rect">
                            <a:avLst/>
                          </a:prstGeom>
                        </pic:spPr>
                      </pic:pic>
                    </a:graphicData>
                  </a:graphic>
                </wp:inline>
              </w:drawing>
            </w:r>
          </w:p>
        </w:tc>
        <w:tc>
          <w:tcPr>
            <w:tcW w:w="3103" w:type="dxa"/>
            <w:tcBorders>
              <w:bottom w:val="single" w:sz="4" w:space="0" w:color="7855FA"/>
            </w:tcBorders>
            <w:tcMar>
              <w:top w:w="0" w:type="dxa"/>
              <w:left w:w="0" w:type="dxa"/>
              <w:right w:w="0" w:type="dxa"/>
            </w:tcMar>
            <w:vAlign w:val="center"/>
          </w:tcPr>
          <w:p>
            <w:pPr>
              <w:pStyle w:val="TableContents"/>
              <w:bidi w:val="0"/>
              <w:spacing w:before="0" w:after="60"/>
              <w:jc w:val="left"/>
              <w:rPr>
                <w:rFonts w:ascii="Montserrat;sans-serif" w:hAnsi="Montserrat;sans-serif"/>
                <w:b/>
                <w:color w:val="7855FA"/>
                <w:sz w:val="20"/>
              </w:rPr>
            </w:pPr>
            <w:r>
              <w:rPr>
                <w:rFonts w:ascii="Montserrat;sans-serif" w:hAnsi="Montserrat;sans-serif"/>
                <w:b/>
                <w:color w:val="7855FA"/>
                <w:sz w:val="20"/>
              </w:rPr>
              <w:t>Greg Lavender</w:t>
            </w:r>
          </w:p>
        </w:tc>
        <w:tc>
          <w:tcPr>
            <w:tcW w:w="5123" w:type="dxa"/>
            <w:tcBorders>
              <w:bottom w:val="single" w:sz="4" w:space="0" w:color="7855FA"/>
            </w:tcBorders>
            <w:tcMar>
              <w:top w:w="0" w:type="dxa"/>
              <w:left w:w="0" w:type="dxa"/>
              <w:right w:w="0" w:type="dxa"/>
            </w:tcMar>
            <w:vAlign w:val="center"/>
          </w:tcPr>
          <w:p>
            <w:pPr>
              <w:pStyle w:val="TableContents"/>
              <w:bidi w:val="0"/>
              <w:spacing w:before="0" w:after="60"/>
              <w:jc w:val="left"/>
              <w:rPr/>
            </w:pPr>
            <w:r>
              <w:rPr/>
              <w:t> </w:t>
            </w:r>
          </w:p>
        </w:tc>
      </w:tr>
      <w:tr>
        <w:trPr/>
        <w:tc>
          <w:tcPr>
            <w:tcW w:w="1979" w:type="dxa"/>
            <w:vMerge w:val="continue"/>
            <w:tcBorders>
              <w:bottom w:val="single" w:sz="4" w:space="0" w:color="7855FA"/>
            </w:tcBorders>
            <w:tcMar>
              <w:top w:w="0" w:type="dxa"/>
              <w:left w:w="0" w:type="dxa"/>
              <w:right w:w="0" w:type="dxa"/>
            </w:tcMar>
            <w:vAlign w:val="center"/>
          </w:tcPr>
          <w:p>
            <w:pPr>
              <w:pStyle w:val="Normal"/>
              <w:bidi w:val="0"/>
              <w:jc w:val="left"/>
              <w:rPr/>
            </w:pPr>
            <w:r>
              <w:rPr/>
            </w:r>
          </w:p>
        </w:tc>
        <w:tc>
          <w:tcPr>
            <w:tcW w:w="3103" w:type="dxa"/>
            <w:tcBorders>
              <w:bottom w:val="single" w:sz="4" w:space="0" w:color="7855FA"/>
            </w:tcBorders>
            <w:tcMar>
              <w:top w:w="0" w:type="dxa"/>
              <w:left w:w="0" w:type="dxa"/>
              <w:right w:w="0" w:type="dxa"/>
            </w:tcMar>
            <w:vAlign w:val="center"/>
          </w:tcPr>
          <w:p>
            <w:pPr>
              <w:pStyle w:val="TableContents"/>
              <w:bidi w:val="0"/>
              <w:spacing w:before="120" w:after="283"/>
              <w:jc w:val="left"/>
              <w:rPr>
                <w:rFonts w:ascii="Montserrat" w:hAnsi="Montserrat"/>
                <w:sz w:val="18"/>
              </w:rPr>
            </w:pPr>
            <w:r>
              <w:rPr>
                <w:rFonts w:ascii="Montserrat;Montserrat Medium;sans-serif" w:hAnsi="Montserrat;Montserrat Medium;sans-serif"/>
                <w:b/>
                <w:color w:val="7855FA"/>
                <w:sz w:val="18"/>
              </w:rPr>
              <w:t>Age:</w:t>
            </w:r>
            <w:r>
              <w:rPr>
                <w:rFonts w:ascii="Montserrat" w:hAnsi="Montserrat"/>
                <w:color w:val="6C60A5"/>
                <w:sz w:val="18"/>
              </w:rPr>
              <w:t xml:space="preserve"> </w:t>
            </w:r>
            <w:r>
              <w:rPr>
                <w:rFonts w:ascii="Montserrat;Montserrat Medium;sans-serif" w:hAnsi="Montserrat;Montserrat Medium;sans-serif"/>
                <w:b/>
                <w:color w:val="000000"/>
                <w:sz w:val="18"/>
              </w:rPr>
              <w:t>66</w:t>
            </w:r>
          </w:p>
          <w:p>
            <w:pPr>
              <w:pStyle w:val="TableContents"/>
              <w:bidi w:val="0"/>
              <w:spacing w:before="60" w:after="283"/>
              <w:jc w:val="left"/>
              <w:rPr>
                <w:rFonts w:ascii="Montserrat" w:hAnsi="Montserrat"/>
                <w:sz w:val="18"/>
              </w:rPr>
            </w:pPr>
            <w:r>
              <w:rPr>
                <w:rFonts w:ascii="Montserrat;Montserrat Medium;sans-serif" w:hAnsi="Montserrat;Montserrat Medium;sans-serif"/>
                <w:b/>
                <w:color w:val="7855FA"/>
                <w:sz w:val="18"/>
              </w:rPr>
              <w:t>Director since:</w:t>
            </w:r>
            <w:r>
              <w:rPr>
                <w:rFonts w:ascii="Montserrat" w:hAnsi="Montserrat"/>
                <w:color w:val="6C60A5"/>
                <w:sz w:val="18"/>
              </w:rPr>
              <w:t xml:space="preserve"> </w:t>
            </w:r>
            <w:r>
              <w:rPr>
                <w:rFonts w:ascii="Montserrat;Montserrat Medium;sans-serif" w:hAnsi="Montserrat;Montserrat Medium;sans-serif"/>
                <w:b/>
                <w:color w:val="000000"/>
                <w:sz w:val="18"/>
              </w:rPr>
              <w:t>2025</w:t>
            </w:r>
          </w:p>
          <w:p>
            <w:pPr>
              <w:pStyle w:val="TableContents"/>
              <w:bidi w:val="0"/>
              <w:spacing w:before="80" w:after="80"/>
              <w:jc w:val="left"/>
              <w:rPr>
                <w:rFonts w:ascii="Montserrat;sans-serif" w:hAnsi="Montserrat;sans-serif"/>
                <w:b/>
                <w:color w:val="000000"/>
                <w:sz w:val="18"/>
              </w:rPr>
            </w:pPr>
            <w:r>
              <w:rPr>
                <w:rFonts w:ascii="Montserrat;sans-serif" w:hAnsi="Montserrat;sans-serif"/>
                <w:b/>
                <w:color w:val="000000"/>
                <w:sz w:val="18"/>
              </w:rPr>
              <w:t>Independent</w:t>
            </w:r>
          </w:p>
          <w:p>
            <w:pPr>
              <w:pStyle w:val="TableContents"/>
              <w:bidi w:val="0"/>
              <w:jc w:val="left"/>
              <w:rPr>
                <w:rFonts w:ascii="Montserrat;sans-serif" w:hAnsi="Montserrat;sans-serif"/>
                <w:b/>
                <w:color w:val="7855FA"/>
                <w:sz w:val="18"/>
              </w:rPr>
            </w:pPr>
            <w:r>
              <w:rPr>
                <w:rFonts w:ascii="Montserrat;sans-serif" w:hAnsi="Montserrat;sans-serif"/>
                <w:b/>
                <w:color w:val="7855FA"/>
                <w:sz w:val="18"/>
              </w:rPr>
              <w:t>Board Committees:</w:t>
            </w:r>
          </w:p>
          <w:p>
            <w:pPr>
              <w:pStyle w:val="TableContents"/>
              <w:bidi w:val="0"/>
              <w:spacing w:before="0" w:after="60"/>
              <w:jc w:val="left"/>
              <w:rPr>
                <w:color w:val="7855FA"/>
              </w:rPr>
            </w:pPr>
            <w:r>
              <w:rPr>
                <w:color w:val="7855FA"/>
              </w:rPr>
              <w:t>•</w:t>
            </w:r>
          </w:p>
          <w:p>
            <w:pPr>
              <w:pStyle w:val="TableContents"/>
              <w:bidi w:val="0"/>
              <w:spacing w:before="0" w:after="60"/>
              <w:jc w:val="left"/>
              <w:rPr>
                <w:rFonts w:ascii="Montserrat;sans-serif" w:hAnsi="Montserrat;sans-serif"/>
                <w:color w:val="000000"/>
                <w:sz w:val="18"/>
              </w:rPr>
            </w:pPr>
            <w:r>
              <w:rPr>
                <w:rFonts w:ascii="Montserrat;sans-serif" w:hAnsi="Montserrat;sans-serif"/>
                <w:color w:val="000000"/>
                <w:sz w:val="18"/>
              </w:rPr>
              <w:t>Security and Privacy</w:t>
            </w:r>
          </w:p>
        </w:tc>
        <w:tc>
          <w:tcPr>
            <w:tcW w:w="5123" w:type="dxa"/>
            <w:tcBorders>
              <w:bottom w:val="single" w:sz="4" w:space="0" w:color="7855FA"/>
            </w:tcBorders>
            <w:tcMar>
              <w:top w:w="0" w:type="dxa"/>
              <w:left w:w="0" w:type="dxa"/>
              <w:right w:w="0" w:type="dxa"/>
            </w:tcMar>
            <w:vAlign w:val="center"/>
          </w:tcPr>
          <w:p>
            <w:pPr>
              <w:pStyle w:val="TableContents"/>
              <w:bidi w:val="0"/>
              <w:spacing w:before="120" w:after="283"/>
              <w:jc w:val="left"/>
              <w:rPr>
                <w:rFonts w:ascii="Montserrat;sans-serif" w:hAnsi="Montserrat;sans-serif"/>
                <w:b/>
                <w:color w:val="7855FA"/>
                <w:sz w:val="18"/>
              </w:rPr>
            </w:pPr>
            <w:r>
              <w:rPr>
                <w:rFonts w:ascii="Montserrat;sans-serif" w:hAnsi="Montserrat;sans-serif"/>
                <w:b/>
                <w:color w:val="7855FA"/>
                <w:sz w:val="18"/>
              </w:rPr>
              <w:t>Other public boards during the past five years:</w:t>
            </w:r>
          </w:p>
          <w:p>
            <w:pPr>
              <w:pStyle w:val="TableContents"/>
              <w:bidi w:val="0"/>
              <w:spacing w:before="0" w:after="0"/>
              <w:jc w:val="left"/>
              <w:rPr>
                <w:color w:val="7855FA"/>
              </w:rPr>
            </w:pPr>
            <w:r>
              <w:rPr>
                <w:color w:val="7855FA"/>
              </w:rPr>
              <w:t>•</w:t>
            </w:r>
          </w:p>
          <w:p>
            <w:pPr>
              <w:pStyle w:val="TableContents"/>
              <w:bidi w:val="0"/>
              <w:spacing w:before="0" w:after="0"/>
              <w:jc w:val="left"/>
              <w:rPr>
                <w:rFonts w:ascii="Montserrat;sans-serif" w:hAnsi="Montserrat;sans-serif"/>
                <w:color w:val="000000"/>
                <w:sz w:val="18"/>
              </w:rPr>
            </w:pPr>
            <w:r>
              <w:rPr>
                <w:rFonts w:ascii="Montserrat;sans-serif" w:hAnsi="Montserrat;sans-serif"/>
                <w:color w:val="000000"/>
                <w:sz w:val="18"/>
              </w:rPr>
              <w:t>Arista Networks, Inc. (since 2025)</w:t>
            </w:r>
          </w:p>
        </w:tc>
      </w:tr>
      <w:tr>
        <w:trPr/>
        <w:tc>
          <w:tcPr>
            <w:tcW w:w="10205" w:type="dxa"/>
            <w:gridSpan w:val="3"/>
            <w:tcBorders>
              <w:bottom w:val="single" w:sz="4" w:space="0" w:color="7855FA"/>
            </w:tcBorders>
            <w:tcMar>
              <w:top w:w="0" w:type="dxa"/>
              <w:left w:w="0" w:type="dxa"/>
              <w:right w:w="0" w:type="dxa"/>
            </w:tcMar>
            <w:vAlign w:val="center"/>
          </w:tcPr>
          <w:p>
            <w:pPr>
              <w:pStyle w:val="TableContents"/>
              <w:bidi w:val="0"/>
              <w:spacing w:before="120" w:after="283"/>
              <w:jc w:val="left"/>
              <w:rPr>
                <w:rFonts w:ascii="Montserrat;sans-serif" w:hAnsi="Montserrat;sans-serif"/>
                <w:b/>
                <w:color w:val="7855FA"/>
                <w:sz w:val="18"/>
              </w:rPr>
            </w:pPr>
            <w:r>
              <w:rPr>
                <w:rFonts w:ascii="Montserrat;sans-serif" w:hAnsi="Montserrat;sans-serif"/>
                <w:b/>
                <w:color w:val="7855FA"/>
                <w:sz w:val="18"/>
              </w:rPr>
              <w:t>Professional background</w:t>
            </w:r>
          </w:p>
          <w:p>
            <w:pPr>
              <w:pStyle w:val="TableContents"/>
              <w:bidi w:val="0"/>
              <w:spacing w:before="120" w:after="283"/>
              <w:jc w:val="both"/>
              <w:rPr>
                <w:rFonts w:ascii="Montserrat;sans-serif" w:hAnsi="Montserrat;sans-serif"/>
                <w:color w:val="000000"/>
                <w:sz w:val="18"/>
              </w:rPr>
            </w:pPr>
            <w:r>
              <w:rPr>
                <w:rFonts w:ascii="Montserrat;sans-serif" w:hAnsi="Montserrat;sans-serif"/>
                <w:color w:val="000000"/>
                <w:sz w:val="18"/>
              </w:rPr>
              <w:t xml:space="preserve">Dr. Lavender brings over 30 years of experience leading global technology organizations across enterprise software, cloud infrastructure, and financial services. Most recently, he served as Chief Technology Officer of Intel Corporation, a multinational semiconductor company, from November 2023 to June 2025, where he led the company’s technical strategy and innovation agenda, with a focus on artificial intelligence, software-defined infrastructure, and developer ecosystems. Prior to that, from June 2021 to November 2023, he was Intel’s Corporate CTO and General Manager of the Software and Advanced Technology Group, driving modernization across Intel’s product portfolio. From January 2018 to June 2021, Dr. Lavender held senior leadership roles, including Senior Vice President and Chief Technology Officer, at VMware, Inc., a virtualization and cloud infrastructure solutions company. Earlier in his career, he held senior executive roles at several global technology companies, including Citigroup, Cisco Systems, and Sun Microsystems, with responsibilities spanning cybersecurity, distributed systems, and enterprise IT architecture. </w:t>
            </w:r>
          </w:p>
          <w:p>
            <w:pPr>
              <w:pStyle w:val="TableContents"/>
              <w:bidi w:val="0"/>
              <w:spacing w:before="120" w:after="283"/>
              <w:jc w:val="both"/>
              <w:rPr>
                <w:rFonts w:ascii="Montserrat;sans-serif" w:hAnsi="Montserrat;sans-serif"/>
                <w:color w:val="000000"/>
                <w:sz w:val="18"/>
              </w:rPr>
            </w:pPr>
            <w:r>
              <w:rPr>
                <w:rFonts w:ascii="Montserrat;sans-serif" w:hAnsi="Montserrat;sans-serif"/>
                <w:color w:val="000000"/>
                <w:sz w:val="18"/>
              </w:rPr>
              <w:t xml:space="preserve">Dr. Lavender began his career in academia, serving on the faculty of the University of Texas at Austin for 14 years, including three years as Associate Chairman for Academics. He currently serves on the board of directors of Arista Networks, Inc., a multinational networking company, where he contributes to oversight of cloud networking strategy, public company governance, and cybersecurity risk. Dr. Lavender also serves on advisory councils at Virginia Tech and The University of Texas at Austin, where he engages with academic leaders and researchers on emerging technologies, talent development, and innovation in computer science and engineering. </w:t>
            </w:r>
          </w:p>
          <w:p>
            <w:pPr>
              <w:pStyle w:val="TableContents"/>
              <w:bidi w:val="0"/>
              <w:spacing w:before="120" w:after="283"/>
              <w:jc w:val="left"/>
              <w:rPr>
                <w:rFonts w:ascii="Montserrat;sans-serif" w:hAnsi="Montserrat;sans-serif"/>
                <w:b/>
                <w:color w:val="7855FA"/>
                <w:sz w:val="18"/>
              </w:rPr>
            </w:pPr>
            <w:r>
              <w:rPr>
                <w:rFonts w:ascii="Montserrat;sans-serif" w:hAnsi="Montserrat;sans-serif"/>
                <w:b/>
                <w:color w:val="7855FA"/>
                <w:sz w:val="18"/>
              </w:rPr>
              <w:t>Education</w:t>
            </w:r>
          </w:p>
          <w:p>
            <w:pPr>
              <w:pStyle w:val="TableContents"/>
              <w:bidi w:val="0"/>
              <w:spacing w:before="120" w:after="283"/>
              <w:jc w:val="left"/>
              <w:rPr>
                <w:rFonts w:ascii="Montserrat;sans-serif" w:hAnsi="Montserrat;sans-serif"/>
                <w:color w:val="000000"/>
                <w:sz w:val="18"/>
              </w:rPr>
            </w:pPr>
            <w:r>
              <w:rPr>
                <w:rFonts w:ascii="Montserrat;sans-serif" w:hAnsi="Montserrat;sans-serif"/>
                <w:color w:val="000000"/>
                <w:sz w:val="18"/>
              </w:rPr>
              <w:t>B.S. in Computer Science (Applied Mathematics), University of Georgia</w:t>
            </w:r>
          </w:p>
          <w:p>
            <w:pPr>
              <w:pStyle w:val="TableContents"/>
              <w:bidi w:val="0"/>
              <w:jc w:val="left"/>
              <w:rPr>
                <w:rFonts w:ascii="Montserrat;sans-serif" w:hAnsi="Montserrat;sans-serif"/>
                <w:color w:val="000000"/>
                <w:sz w:val="18"/>
              </w:rPr>
            </w:pPr>
            <w:r>
              <w:rPr>
                <w:rFonts w:ascii="Montserrat;sans-serif" w:hAnsi="Montserrat;sans-serif"/>
                <w:color w:val="000000"/>
                <w:sz w:val="18"/>
              </w:rPr>
              <w:t>M.S. in Computer Science (Software Engineering) and Ph. D. in Computer Science (Networking and Distributed Systems), Virginia Polytechnic Institute and State University</w:t>
            </w:r>
          </w:p>
          <w:p>
            <w:pPr>
              <w:pStyle w:val="TableContents"/>
              <w:bidi w:val="0"/>
              <w:spacing w:before="120" w:after="283"/>
              <w:jc w:val="left"/>
              <w:rPr>
                <w:rFonts w:ascii="Montserrat;sans-serif" w:hAnsi="Montserrat;sans-serif"/>
                <w:b/>
                <w:color w:val="7855FA"/>
                <w:sz w:val="18"/>
              </w:rPr>
            </w:pPr>
            <w:r>
              <w:rPr>
                <w:rFonts w:ascii="Montserrat;sans-serif" w:hAnsi="Montserrat;sans-serif"/>
                <w:b/>
                <w:color w:val="7855FA"/>
                <w:sz w:val="18"/>
              </w:rPr>
              <w:t>Key skills and experience</w:t>
            </w:r>
          </w:p>
          <w:p>
            <w:pPr>
              <w:pStyle w:val="TableContents"/>
              <w:bidi w:val="0"/>
              <w:spacing w:before="120" w:after="60"/>
              <w:jc w:val="both"/>
              <w:rPr>
                <w:rFonts w:ascii="Montserrat;sans-serif" w:hAnsi="Montserrat;sans-serif"/>
                <w:color w:val="000000"/>
                <w:sz w:val="18"/>
              </w:rPr>
            </w:pPr>
            <w:r>
              <w:rPr>
                <w:rFonts w:ascii="Montserrat;sans-serif" w:hAnsi="Montserrat;sans-serif"/>
                <w:color w:val="000000"/>
                <w:sz w:val="18"/>
              </w:rPr>
              <w:t xml:space="preserve">Our Board believes Dr. Lavender is qualified to serve as a director based on his extensive leadership in enterprise technology, global operations, and commercialization of patented innovations in cloud-native infrastructure. His deep technical expertise informed by decades of experience across multinational technology companies and academic institutions in software architecture, cloud infrastructure, and artificial intelligence enhances the Board’s oversight of IT infrastructure and its understanding of evolving customer needs and competitive dynamics. Dr. Lavender’s executive responsibility for multi-billion dollar R&amp;D investments and P&amp;L businesses, along with his global IT and security engineering leadership, supports the Board’s governance of operational resilience and cybersecurity risk. These qualifications contribute to the Board’s oversight of strategic planning, technology innovation, cybersecurity, and enterprise risk management. </w:t>
            </w:r>
          </w:p>
        </w:tc>
      </w:tr>
    </w:tbl>
    <w:p>
      <w:pPr>
        <w:pStyle w:val="TextBody"/>
        <w:bidi w:val="0"/>
        <w:jc w:val="both"/>
        <w:rPr/>
      </w:pPr>
      <w:r>
        <w:rPr/>
        <w:t> </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2641"/>
        <w:gridCol w:w="331"/>
      </w:tblGrid>
      <w:tr>
        <w:trPr/>
        <w:tc>
          <w:tcPr>
            <w:tcW w:w="26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131"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20" descr=""/>
                          <pic:cNvPicPr>
                            <a:picLocks noChangeAspect="1" noChangeArrowheads="1"/>
                          </pic:cNvPicPr>
                        </pic:nvPicPr>
                        <pic:blipFill>
                          <a:blip r:embed="rId124"/>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3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25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rFonts w:ascii="Montserrat;sans-serif" w:hAnsi="Montserrat;sans-serif"/>
          <w:color w:val="000000"/>
          <w:sz w:val="13"/>
        </w:rPr>
      </w:pPr>
      <w:r>
        <w:rPr>
          <w:rFonts w:ascii="Montserrat;sans-serif" w:hAnsi="Montserrat;sans-serif"/>
          <w:color w:val="000000"/>
          <w:sz w:val="13"/>
        </w:rPr>
        <w:t>Corporate Governance</w:t>
      </w:r>
    </w:p>
    <w:p>
      <w:pPr>
        <w:pStyle w:val="TextBody"/>
        <w:bidi w:val="0"/>
        <w:spacing w:before="60" w:after="283"/>
        <w:jc w:val="left"/>
        <w:rPr>
          <w:rFonts w:ascii="Montserrat;sans-serif" w:hAnsi="Montserrat;sans-serif"/>
          <w:color w:val="000000"/>
          <w:sz w:val="12"/>
        </w:rPr>
      </w:pPr>
      <w:r>
        <w:rPr>
          <w:rFonts w:ascii="Montserrat;sans-serif" w:hAnsi="Montserrat;sans-serif"/>
          <w:color w:val="000000"/>
          <w:sz w:val="12"/>
        </w:rPr>
        <w:t>Proposal 1: Election of Directors</w:t>
      </w:r>
    </w:p>
    <w:p>
      <w:pPr>
        <w:pStyle w:val="TextBody"/>
        <w:bidi w:val="0"/>
        <w:jc w:val="left"/>
        <w:rPr/>
      </w:pPr>
      <w:r>
        <w:rPr/>
        <w:t> </w:t>
      </w:r>
    </w:p>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922"/>
        <w:gridCol w:w="3199"/>
        <w:gridCol w:w="5084"/>
      </w:tblGrid>
      <w:tr>
        <w:trPr/>
        <w:tc>
          <w:tcPr>
            <w:tcW w:w="1922" w:type="dxa"/>
            <w:tcBorders/>
            <w:vAlign w:val="center"/>
          </w:tcPr>
          <w:p>
            <w:pPr>
              <w:pStyle w:val="TableContents"/>
              <w:bidi w:val="0"/>
              <w:spacing w:before="0" w:after="283"/>
              <w:jc w:val="left"/>
              <w:rPr>
                <w:sz w:val="4"/>
                <w:szCs w:val="4"/>
              </w:rPr>
            </w:pPr>
            <w:r>
              <w:rPr>
                <w:sz w:val="4"/>
                <w:szCs w:val="4"/>
              </w:rPr>
            </w:r>
          </w:p>
        </w:tc>
        <w:tc>
          <w:tcPr>
            <w:tcW w:w="3199" w:type="dxa"/>
            <w:tcBorders/>
            <w:vAlign w:val="center"/>
          </w:tcPr>
          <w:p>
            <w:pPr>
              <w:pStyle w:val="TableContents"/>
              <w:bidi w:val="0"/>
              <w:spacing w:before="0" w:after="283"/>
              <w:jc w:val="left"/>
              <w:rPr>
                <w:sz w:val="4"/>
                <w:szCs w:val="4"/>
              </w:rPr>
            </w:pPr>
            <w:r>
              <w:rPr>
                <w:sz w:val="4"/>
                <w:szCs w:val="4"/>
              </w:rPr>
            </w:r>
          </w:p>
        </w:tc>
        <w:tc>
          <w:tcPr>
            <w:tcW w:w="5084" w:type="dxa"/>
            <w:tcBorders/>
            <w:vAlign w:val="center"/>
          </w:tcPr>
          <w:p>
            <w:pPr>
              <w:pStyle w:val="TableContents"/>
              <w:bidi w:val="0"/>
              <w:spacing w:before="0" w:after="283"/>
              <w:jc w:val="left"/>
              <w:rPr>
                <w:sz w:val="4"/>
                <w:szCs w:val="4"/>
              </w:rPr>
            </w:pPr>
            <w:r>
              <w:rPr>
                <w:sz w:val="4"/>
                <w:szCs w:val="4"/>
              </w:rPr>
            </w:r>
          </w:p>
        </w:tc>
      </w:tr>
      <w:tr>
        <w:trPr/>
        <w:tc>
          <w:tcPr>
            <w:tcW w:w="1922" w:type="dxa"/>
            <w:vMerge w:val="restart"/>
            <w:tcBorders>
              <w:bottom w:val="single" w:sz="4" w:space="0" w:color="7855FA"/>
            </w:tcBorders>
            <w:tcMar>
              <w:top w:w="0" w:type="dxa"/>
              <w:left w:w="0" w:type="dxa"/>
              <w:right w:w="0" w:type="dxa"/>
            </w:tcMar>
            <w:vAlign w:val="center"/>
          </w:tcPr>
          <w:p>
            <w:pPr>
              <w:pStyle w:val="TableContents"/>
              <w:bidi w:val="0"/>
              <w:spacing w:before="120" w:after="283"/>
              <w:jc w:val="left"/>
              <w:rPr/>
            </w:pPr>
            <w:r>
              <w:rPr/>
              <w:drawing>
                <wp:inline distT="0" distB="0" distL="0" distR="0">
                  <wp:extent cx="647700" cy="647700"/>
                  <wp:effectExtent l="0" t="0" r="0" b="0"/>
                  <wp:docPr id="132"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21" descr=""/>
                          <pic:cNvPicPr>
                            <a:picLocks noChangeAspect="1" noChangeArrowheads="1"/>
                          </pic:cNvPicPr>
                        </pic:nvPicPr>
                        <pic:blipFill>
                          <a:blip r:embed="rId125"/>
                          <a:stretch>
                            <a:fillRect/>
                          </a:stretch>
                        </pic:blipFill>
                        <pic:spPr bwMode="auto">
                          <a:xfrm>
                            <a:off x="0" y="0"/>
                            <a:ext cx="647700" cy="647700"/>
                          </a:xfrm>
                          <a:prstGeom prst="rect">
                            <a:avLst/>
                          </a:prstGeom>
                        </pic:spPr>
                      </pic:pic>
                    </a:graphicData>
                  </a:graphic>
                </wp:inline>
              </w:drawing>
            </w:r>
          </w:p>
        </w:tc>
        <w:tc>
          <w:tcPr>
            <w:tcW w:w="3199" w:type="dxa"/>
            <w:tcBorders>
              <w:bottom w:val="single" w:sz="4" w:space="0" w:color="7855FA"/>
            </w:tcBorders>
            <w:tcMar>
              <w:top w:w="0" w:type="dxa"/>
              <w:left w:w="0" w:type="dxa"/>
              <w:right w:w="0" w:type="dxa"/>
            </w:tcMar>
            <w:vAlign w:val="center"/>
          </w:tcPr>
          <w:p>
            <w:pPr>
              <w:pStyle w:val="TableContents"/>
              <w:bidi w:val="0"/>
              <w:spacing w:before="0" w:after="60"/>
              <w:jc w:val="left"/>
              <w:rPr>
                <w:rFonts w:ascii="Montserrat;sans-serif" w:hAnsi="Montserrat;sans-serif"/>
                <w:b/>
                <w:color w:val="7855FA"/>
                <w:sz w:val="20"/>
              </w:rPr>
            </w:pPr>
            <w:r>
              <w:rPr>
                <w:rFonts w:ascii="Montserrat;sans-serif" w:hAnsi="Montserrat;sans-serif"/>
                <w:b/>
                <w:color w:val="7855FA"/>
                <w:sz w:val="20"/>
              </w:rPr>
              <w:t>Rajiv Ramaswami</w:t>
            </w:r>
          </w:p>
        </w:tc>
        <w:tc>
          <w:tcPr>
            <w:tcW w:w="5084" w:type="dxa"/>
            <w:tcBorders>
              <w:bottom w:val="single" w:sz="4" w:space="0" w:color="7855FA"/>
            </w:tcBorders>
            <w:tcMar>
              <w:top w:w="0" w:type="dxa"/>
              <w:left w:w="0" w:type="dxa"/>
              <w:right w:w="0" w:type="dxa"/>
            </w:tcMar>
            <w:vAlign w:val="center"/>
          </w:tcPr>
          <w:p>
            <w:pPr>
              <w:pStyle w:val="TableContents"/>
              <w:bidi w:val="0"/>
              <w:spacing w:before="0" w:after="60"/>
              <w:jc w:val="left"/>
              <w:rPr/>
            </w:pPr>
            <w:r>
              <w:rPr/>
              <w:t> </w:t>
            </w:r>
          </w:p>
        </w:tc>
      </w:tr>
      <w:tr>
        <w:trPr/>
        <w:tc>
          <w:tcPr>
            <w:tcW w:w="1922" w:type="dxa"/>
            <w:vMerge w:val="continue"/>
            <w:tcBorders>
              <w:bottom w:val="single" w:sz="4" w:space="0" w:color="7855FA"/>
            </w:tcBorders>
            <w:tcMar>
              <w:top w:w="0" w:type="dxa"/>
              <w:left w:w="0" w:type="dxa"/>
              <w:right w:w="0" w:type="dxa"/>
            </w:tcMar>
            <w:vAlign w:val="center"/>
          </w:tcPr>
          <w:p>
            <w:pPr>
              <w:pStyle w:val="Normal"/>
              <w:bidi w:val="0"/>
              <w:jc w:val="left"/>
              <w:rPr/>
            </w:pPr>
            <w:r>
              <w:rPr/>
            </w:r>
          </w:p>
        </w:tc>
        <w:tc>
          <w:tcPr>
            <w:tcW w:w="3199" w:type="dxa"/>
            <w:tcBorders>
              <w:bottom w:val="single" w:sz="4" w:space="0" w:color="7855FA"/>
            </w:tcBorders>
            <w:tcMar>
              <w:top w:w="0" w:type="dxa"/>
              <w:left w:w="0" w:type="dxa"/>
              <w:right w:w="0" w:type="dxa"/>
            </w:tcMar>
            <w:vAlign w:val="center"/>
          </w:tcPr>
          <w:p>
            <w:pPr>
              <w:pStyle w:val="TableContents"/>
              <w:bidi w:val="0"/>
              <w:spacing w:before="120" w:after="283"/>
              <w:jc w:val="left"/>
              <w:rPr>
                <w:rFonts w:ascii="Montserrat" w:hAnsi="Montserrat"/>
                <w:sz w:val="18"/>
              </w:rPr>
            </w:pPr>
            <w:r>
              <w:rPr>
                <w:rFonts w:ascii="Montserrat;Montserrat Medium;sans-serif" w:hAnsi="Montserrat;Montserrat Medium;sans-serif"/>
                <w:b/>
                <w:color w:val="7855FA"/>
                <w:sz w:val="18"/>
              </w:rPr>
              <w:t>Age:</w:t>
            </w:r>
            <w:r>
              <w:rPr>
                <w:rFonts w:ascii="Montserrat" w:hAnsi="Montserrat"/>
                <w:color w:val="6C60A5"/>
                <w:sz w:val="18"/>
              </w:rPr>
              <w:t xml:space="preserve"> </w:t>
            </w:r>
            <w:r>
              <w:rPr>
                <w:rFonts w:ascii="Montserrat;Montserrat Medium;sans-serif" w:hAnsi="Montserrat;Montserrat Medium;sans-serif"/>
                <w:b/>
                <w:color w:val="000000"/>
                <w:sz w:val="18"/>
              </w:rPr>
              <w:t>60</w:t>
            </w:r>
          </w:p>
          <w:p>
            <w:pPr>
              <w:pStyle w:val="TableContents"/>
              <w:bidi w:val="0"/>
              <w:spacing w:before="60" w:after="283"/>
              <w:jc w:val="left"/>
              <w:rPr>
                <w:rFonts w:ascii="Montserrat" w:hAnsi="Montserrat"/>
                <w:sz w:val="18"/>
              </w:rPr>
            </w:pPr>
            <w:r>
              <w:rPr>
                <w:rFonts w:ascii="Montserrat;Montserrat Medium;sans-serif" w:hAnsi="Montserrat;Montserrat Medium;sans-serif"/>
                <w:b/>
                <w:color w:val="7855FA"/>
                <w:sz w:val="18"/>
              </w:rPr>
              <w:t>Director since:</w:t>
            </w:r>
            <w:r>
              <w:rPr>
                <w:rFonts w:ascii="Montserrat" w:hAnsi="Montserrat"/>
                <w:color w:val="6C60A5"/>
                <w:sz w:val="18"/>
              </w:rPr>
              <w:t xml:space="preserve"> </w:t>
            </w:r>
            <w:r>
              <w:rPr>
                <w:rFonts w:ascii="Montserrat;Montserrat Medium;sans-serif" w:hAnsi="Montserrat;Montserrat Medium;sans-serif"/>
                <w:b/>
                <w:color w:val="000000"/>
                <w:sz w:val="18"/>
              </w:rPr>
              <w:t>2020</w:t>
            </w:r>
          </w:p>
          <w:p>
            <w:pPr>
              <w:pStyle w:val="TableContents"/>
              <w:bidi w:val="0"/>
              <w:spacing w:before="120" w:after="283"/>
              <w:jc w:val="left"/>
              <w:rPr>
                <w:rFonts w:ascii="Montserrat;sans-serif" w:hAnsi="Montserrat;sans-serif"/>
                <w:b/>
                <w:color w:val="000000"/>
                <w:sz w:val="18"/>
              </w:rPr>
            </w:pPr>
            <w:r>
              <w:rPr>
                <w:rFonts w:ascii="Montserrat;sans-serif" w:hAnsi="Montserrat;sans-serif"/>
                <w:b/>
                <w:color w:val="000000"/>
                <w:sz w:val="18"/>
              </w:rPr>
              <w:t>Chief Executive Officer</w:t>
            </w:r>
          </w:p>
          <w:p>
            <w:pPr>
              <w:pStyle w:val="TableContents"/>
              <w:bidi w:val="0"/>
              <w:spacing w:before="120" w:after="283"/>
              <w:jc w:val="left"/>
              <w:rPr>
                <w:rFonts w:ascii="Montserrat;sans-serif" w:hAnsi="Montserrat;sans-serif"/>
                <w:b/>
                <w:color w:val="7855FA"/>
                <w:sz w:val="18"/>
              </w:rPr>
            </w:pPr>
            <w:r>
              <w:rPr>
                <w:rFonts w:ascii="Montserrat;sans-serif" w:hAnsi="Montserrat;sans-serif"/>
                <w:b/>
                <w:color w:val="7855FA"/>
                <w:sz w:val="18"/>
              </w:rPr>
              <w:t>Board Committees:</w:t>
            </w:r>
          </w:p>
          <w:p>
            <w:pPr>
              <w:pStyle w:val="TableContents"/>
              <w:bidi w:val="0"/>
              <w:spacing w:before="0" w:after="60"/>
              <w:jc w:val="left"/>
              <w:rPr>
                <w:color w:val="7855FA"/>
              </w:rPr>
            </w:pPr>
            <w:r>
              <w:rPr>
                <w:color w:val="7855FA"/>
              </w:rPr>
              <w:t>•</w:t>
            </w:r>
          </w:p>
          <w:p>
            <w:pPr>
              <w:pStyle w:val="TableContents"/>
              <w:bidi w:val="0"/>
              <w:spacing w:before="0" w:after="60"/>
              <w:jc w:val="left"/>
              <w:rPr>
                <w:rFonts w:ascii="Montserrat;sans-serif" w:hAnsi="Montserrat;sans-serif"/>
                <w:color w:val="000000"/>
                <w:sz w:val="18"/>
              </w:rPr>
            </w:pPr>
            <w:r>
              <w:rPr>
                <w:rFonts w:ascii="Montserrat;sans-serif" w:hAnsi="Montserrat;sans-serif"/>
                <w:color w:val="000000"/>
                <w:sz w:val="18"/>
              </w:rPr>
              <w:t>None</w:t>
            </w:r>
          </w:p>
        </w:tc>
        <w:tc>
          <w:tcPr>
            <w:tcW w:w="5084" w:type="dxa"/>
            <w:tcBorders>
              <w:bottom w:val="single" w:sz="4" w:space="0" w:color="7855FA"/>
            </w:tcBorders>
            <w:tcMar>
              <w:top w:w="0" w:type="dxa"/>
              <w:left w:w="0" w:type="dxa"/>
              <w:right w:w="0" w:type="dxa"/>
            </w:tcMar>
            <w:vAlign w:val="center"/>
          </w:tcPr>
          <w:p>
            <w:pPr>
              <w:pStyle w:val="TableContents"/>
              <w:bidi w:val="0"/>
              <w:spacing w:before="120" w:after="283"/>
              <w:jc w:val="left"/>
              <w:rPr>
                <w:rFonts w:ascii="Montserrat;sans-serif" w:hAnsi="Montserrat;sans-serif"/>
                <w:b/>
                <w:color w:val="7855FA"/>
                <w:sz w:val="18"/>
              </w:rPr>
            </w:pPr>
            <w:r>
              <w:rPr>
                <w:rFonts w:ascii="Montserrat;sans-serif" w:hAnsi="Montserrat;sans-serif"/>
                <w:b/>
                <w:color w:val="7855FA"/>
                <w:sz w:val="18"/>
              </w:rPr>
              <w:t>Other public boards during the past five years:</w:t>
            </w:r>
          </w:p>
          <w:p>
            <w:pPr>
              <w:pStyle w:val="TableContents"/>
              <w:bidi w:val="0"/>
              <w:spacing w:before="0" w:after="0"/>
              <w:jc w:val="left"/>
              <w:rPr>
                <w:color w:val="7855FA"/>
              </w:rPr>
            </w:pPr>
            <w:r>
              <w:rPr>
                <w:color w:val="7855FA"/>
              </w:rPr>
              <w:t>•</w:t>
            </w:r>
          </w:p>
          <w:p>
            <w:pPr>
              <w:pStyle w:val="TableContents"/>
              <w:bidi w:val="0"/>
              <w:spacing w:before="0" w:after="0"/>
              <w:jc w:val="left"/>
              <w:rPr>
                <w:rFonts w:ascii="Montserrat;sans-serif" w:hAnsi="Montserrat;sans-serif"/>
                <w:color w:val="000000"/>
                <w:sz w:val="18"/>
              </w:rPr>
            </w:pPr>
            <w:r>
              <w:rPr>
                <w:rFonts w:ascii="Montserrat;sans-serif" w:hAnsi="Montserrat;sans-serif"/>
                <w:color w:val="000000"/>
                <w:sz w:val="18"/>
              </w:rPr>
              <w:t>Marvell Technology, Inc. (since 2025)</w:t>
            </w:r>
          </w:p>
          <w:p>
            <w:pPr>
              <w:pStyle w:val="TableContents"/>
              <w:bidi w:val="0"/>
              <w:spacing w:before="0" w:after="0"/>
              <w:jc w:val="left"/>
              <w:rPr>
                <w:color w:val="7855FA"/>
              </w:rPr>
            </w:pPr>
            <w:r>
              <w:rPr>
                <w:color w:val="7855FA"/>
              </w:rPr>
              <w:t>•</w:t>
            </w:r>
          </w:p>
          <w:p>
            <w:pPr>
              <w:pStyle w:val="TableContents"/>
              <w:bidi w:val="0"/>
              <w:spacing w:before="0" w:after="0"/>
              <w:jc w:val="left"/>
              <w:rPr>
                <w:rFonts w:ascii="Montserrat;sans-serif" w:hAnsi="Montserrat;sans-serif"/>
                <w:color w:val="000000"/>
                <w:sz w:val="18"/>
              </w:rPr>
            </w:pPr>
            <w:r>
              <w:rPr>
                <w:rFonts w:ascii="Montserrat;sans-serif" w:hAnsi="Montserrat;sans-serif"/>
                <w:color w:val="000000"/>
                <w:sz w:val="18"/>
              </w:rPr>
              <w:t>NeoPhotonics Corporation (2014-2022)</w:t>
            </w:r>
          </w:p>
        </w:tc>
      </w:tr>
      <w:tr>
        <w:trPr/>
        <w:tc>
          <w:tcPr>
            <w:tcW w:w="10205" w:type="dxa"/>
            <w:gridSpan w:val="3"/>
            <w:tcBorders>
              <w:bottom w:val="single" w:sz="4" w:space="0" w:color="7855FA"/>
            </w:tcBorders>
            <w:tcMar>
              <w:top w:w="0" w:type="dxa"/>
              <w:left w:w="0" w:type="dxa"/>
              <w:right w:w="0" w:type="dxa"/>
            </w:tcMar>
            <w:vAlign w:val="center"/>
          </w:tcPr>
          <w:p>
            <w:pPr>
              <w:pStyle w:val="TableContents"/>
              <w:bidi w:val="0"/>
              <w:spacing w:before="120" w:after="283"/>
              <w:jc w:val="left"/>
              <w:rPr>
                <w:rFonts w:ascii="Montserrat;sans-serif" w:hAnsi="Montserrat;sans-serif"/>
                <w:b/>
                <w:color w:val="7855FA"/>
                <w:sz w:val="18"/>
              </w:rPr>
            </w:pPr>
            <w:r>
              <w:rPr>
                <w:rFonts w:ascii="Montserrat;sans-serif" w:hAnsi="Montserrat;sans-serif"/>
                <w:b/>
                <w:color w:val="7855FA"/>
                <w:sz w:val="18"/>
              </w:rPr>
              <w:t>Professional background</w:t>
            </w:r>
          </w:p>
          <w:p>
            <w:pPr>
              <w:pStyle w:val="TableContents"/>
              <w:bidi w:val="0"/>
              <w:spacing w:before="120" w:after="283"/>
              <w:jc w:val="both"/>
              <w:rPr>
                <w:rFonts w:ascii="Montserrat;sans-serif" w:hAnsi="Montserrat;sans-serif"/>
                <w:color w:val="000000"/>
                <w:sz w:val="18"/>
              </w:rPr>
            </w:pPr>
            <w:r>
              <w:rPr>
                <w:rFonts w:ascii="Montserrat;sans-serif" w:hAnsi="Montserrat;sans-serif"/>
                <w:color w:val="000000"/>
                <w:sz w:val="18"/>
              </w:rPr>
              <w:t xml:space="preserve">Mr. Ramaswami has served as our Chief Executive Officer since December 2020. A seasoned technology industry executive, he has more than 30 years of experience in enterprise technology with leadership roles spanning software, cloud services, and network infrastructure. Mr. Ramaswami has expertise building and scaling enterprises and teams, having a strong customer-centric approach, operational execution, and developing innovative products and solutions to drive growth and value creation. Prior to joining Nutanix, Mr. Ramaswami served as Chief Operating Officer of Products and Cloud Services at VMware from October 2016 until December 2020. Prior to that, Mr. Ramaswami led VMware’s Networking and Security business as Executive Vice President and General Manager from April 2016 to September 2016. Mr. Ramaswami served as Executive Vice President and General Manager, Infrastructure and Networking, at Broadcom from February 2010 to January 2016, where he established Broadcom as a leader in data center, enterprise, and carrier networking. Prior to that, Mr. Ramaswami served in multiple General Manager roles at Cisco Systems, Inc., a global technology company, overseeing switching, data center, storage, and optical networking business units. Earlier in his career, he held various leadership positions at Nortel, Tellabs, and IBM. Mr. Ramaswami’s strategic vision and operational discipline are reflected in our transformation to a profitable subscription-based business model. His deep understanding of customer needs and competitive dynamics is critical to guiding Nutanix’s strategy and execution. </w:t>
            </w:r>
          </w:p>
          <w:p>
            <w:pPr>
              <w:pStyle w:val="TableContents"/>
              <w:bidi w:val="0"/>
              <w:spacing w:before="120" w:after="283"/>
              <w:jc w:val="both"/>
              <w:rPr>
                <w:rFonts w:ascii="Montserrat;sans-serif" w:hAnsi="Montserrat;sans-serif"/>
                <w:color w:val="000000"/>
                <w:sz w:val="18"/>
              </w:rPr>
            </w:pPr>
            <w:r>
              <w:rPr>
                <w:rFonts w:ascii="Montserrat;sans-serif" w:hAnsi="Montserrat;sans-serif"/>
                <w:color w:val="000000"/>
                <w:sz w:val="18"/>
              </w:rPr>
              <w:t>Mr. Ramaswami has served on the board of directors of Marvell Technology, Inc., a semiconductor company, since July 2025. He also served on the board of NeoPhotonics Corporation, a manufacturer of telecommunications circuits, from March 2014 to August 2022. This prior public company board role, including service as Chair of the Compensation Committee, deepened Mr. Ramaswami’s expertise in optical networking and executive governance. Mr. Ramaswami is a Fellow of the Institute of Electrical and Electronics Engineers and holder of 36 patents, primarily in optical networking.</w:t>
            </w:r>
          </w:p>
          <w:p>
            <w:pPr>
              <w:pStyle w:val="TableContents"/>
              <w:bidi w:val="0"/>
              <w:spacing w:before="120" w:after="283"/>
              <w:jc w:val="left"/>
              <w:rPr>
                <w:rFonts w:ascii="Montserrat;sans-serif" w:hAnsi="Montserrat;sans-serif"/>
                <w:b/>
                <w:color w:val="7855FA"/>
                <w:sz w:val="18"/>
              </w:rPr>
            </w:pPr>
            <w:r>
              <w:rPr>
                <w:rFonts w:ascii="Montserrat;sans-serif" w:hAnsi="Montserrat;sans-serif"/>
                <w:b/>
                <w:color w:val="7855FA"/>
                <w:sz w:val="18"/>
              </w:rPr>
              <w:t>Education</w:t>
            </w:r>
          </w:p>
          <w:p>
            <w:pPr>
              <w:pStyle w:val="TableContents"/>
              <w:bidi w:val="0"/>
              <w:spacing w:before="120" w:after="283"/>
              <w:jc w:val="both"/>
              <w:rPr>
                <w:rFonts w:ascii="Montserrat;sans-serif" w:hAnsi="Montserrat;sans-serif"/>
                <w:color w:val="000000"/>
                <w:sz w:val="18"/>
              </w:rPr>
            </w:pPr>
            <w:r>
              <w:rPr>
                <w:rFonts w:ascii="Montserrat;sans-serif" w:hAnsi="Montserrat;sans-serif"/>
                <w:color w:val="000000"/>
                <w:sz w:val="18"/>
              </w:rPr>
              <w:t>B.Tech. in Electrical Engineering, Indian Institute of Technology, Madras</w:t>
            </w:r>
          </w:p>
          <w:p>
            <w:pPr>
              <w:pStyle w:val="TableContents"/>
              <w:bidi w:val="0"/>
              <w:jc w:val="both"/>
              <w:rPr>
                <w:rFonts w:ascii="Montserrat;sans-serif" w:hAnsi="Montserrat;sans-serif"/>
                <w:color w:val="000000"/>
                <w:sz w:val="18"/>
              </w:rPr>
            </w:pPr>
            <w:r>
              <w:rPr>
                <w:rFonts w:ascii="Montserrat;sans-serif" w:hAnsi="Montserrat;sans-serif"/>
                <w:color w:val="000000"/>
                <w:sz w:val="18"/>
              </w:rPr>
              <w:t>M.S. and Ph.D. in Electrical Engineering and Computer Science, University of California, Berkeley</w:t>
            </w:r>
          </w:p>
          <w:p>
            <w:pPr>
              <w:pStyle w:val="TableContents"/>
              <w:bidi w:val="0"/>
              <w:spacing w:before="120" w:after="283"/>
              <w:jc w:val="left"/>
              <w:rPr>
                <w:rFonts w:ascii="Montserrat;sans-serif" w:hAnsi="Montserrat;sans-serif"/>
                <w:b/>
                <w:color w:val="7855FA"/>
                <w:sz w:val="18"/>
              </w:rPr>
            </w:pPr>
            <w:r>
              <w:rPr>
                <w:rFonts w:ascii="Montserrat;sans-serif" w:hAnsi="Montserrat;sans-serif"/>
                <w:b/>
                <w:color w:val="7855FA"/>
                <w:sz w:val="18"/>
              </w:rPr>
              <w:t>Key skills and experience</w:t>
            </w:r>
          </w:p>
          <w:p>
            <w:pPr>
              <w:pStyle w:val="TableContents"/>
              <w:bidi w:val="0"/>
              <w:spacing w:before="120" w:after="60"/>
              <w:jc w:val="both"/>
              <w:rPr>
                <w:rFonts w:ascii="Montserrat;sans-serif" w:hAnsi="Montserrat;sans-serif"/>
                <w:color w:val="000000"/>
                <w:sz w:val="18"/>
              </w:rPr>
            </w:pPr>
            <w:r>
              <w:rPr>
                <w:rFonts w:ascii="Montserrat;sans-serif" w:hAnsi="Montserrat;sans-serif"/>
                <w:color w:val="000000"/>
                <w:sz w:val="18"/>
              </w:rPr>
              <w:t xml:space="preserve">Our Board believes Mr. Ramaswami is uniquely qualified to serve as a director based on his firsthand insight into our operations and strategy as CEO. His executive leadership roles reflect a strong foundation in infrastructure innovation, cloud transformation, and enterprise technology, with direct oversight of networking and security, supporting the Board’s understanding of cybersecurity and infrastructure resilience. Mr. Ramaswami’s experience enabling cloud platforms and data center infrastructure for enterprise workloads informs Board oversight of AI/ML capabilities and emerging technologies. Mr. Ramaswami’s customer domain expertise and executive leadership roles in global sales and marketing functions, including at product and cloud service businesses at scale, enhance the Board’s understanding of go-to-market strategy, competitive positioning, customer engagement, and execution excellence. </w:t>
            </w:r>
          </w:p>
        </w:tc>
      </w:tr>
    </w:tbl>
    <w:p>
      <w:pPr>
        <w:pStyle w:val="TextBody"/>
        <w:bidi w:val="0"/>
        <w:jc w:val="left"/>
        <w:rPr/>
      </w:pPr>
      <w:r>
        <w:rPr/>
        <w:t> </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301"/>
        <w:gridCol w:w="2671"/>
      </w:tblGrid>
      <w:tr>
        <w:trPr/>
        <w:tc>
          <w:tcPr>
            <w:tcW w:w="30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26</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133"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22" descr=""/>
                          <pic:cNvPicPr>
                            <a:picLocks noChangeAspect="1" noChangeArrowheads="1"/>
                          </pic:cNvPicPr>
                        </pic:nvPicPr>
                        <pic:blipFill>
                          <a:blip r:embed="rId126"/>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rFonts w:ascii="Montserrat;sans-serif" w:hAnsi="Montserrat;sans-serif"/>
          <w:color w:val="000000"/>
          <w:sz w:val="13"/>
        </w:rPr>
      </w:pPr>
      <w:r>
        <w:rPr>
          <w:rFonts w:ascii="Montserrat;sans-serif" w:hAnsi="Montserrat;sans-serif"/>
          <w:color w:val="000000"/>
          <w:sz w:val="13"/>
        </w:rPr>
        <w:t>Corporate Governance</w:t>
      </w:r>
    </w:p>
    <w:p>
      <w:pPr>
        <w:pStyle w:val="TextBody"/>
        <w:bidi w:val="0"/>
        <w:spacing w:before="60" w:after="283"/>
        <w:jc w:val="right"/>
        <w:rPr>
          <w:rFonts w:ascii="Montserrat;sans-serif" w:hAnsi="Montserrat;sans-serif"/>
          <w:color w:val="000000"/>
          <w:sz w:val="12"/>
        </w:rPr>
      </w:pPr>
      <w:r>
        <w:rPr>
          <w:rFonts w:ascii="Montserrat;sans-serif" w:hAnsi="Montserrat;sans-serif"/>
          <w:color w:val="000000"/>
          <w:sz w:val="12"/>
        </w:rPr>
        <w:t>Proposal 1: Election of Directors</w:t>
      </w:r>
    </w:p>
    <w:p>
      <w:pPr>
        <w:pStyle w:val="TextBody"/>
        <w:bidi w:val="0"/>
        <w:jc w:val="right"/>
        <w:rPr/>
      </w:pPr>
      <w:r>
        <w:rPr/>
        <w:t> </w:t>
      </w:r>
    </w:p>
    <w:p>
      <w:pPr>
        <w:pStyle w:val="TextBody"/>
        <w:bidi w:val="0"/>
        <w:jc w:val="righ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883"/>
        <w:gridCol w:w="3346"/>
        <w:gridCol w:w="4976"/>
      </w:tblGrid>
      <w:tr>
        <w:trPr/>
        <w:tc>
          <w:tcPr>
            <w:tcW w:w="1883" w:type="dxa"/>
            <w:tcBorders/>
            <w:vAlign w:val="center"/>
          </w:tcPr>
          <w:p>
            <w:pPr>
              <w:pStyle w:val="TableContents"/>
              <w:bidi w:val="0"/>
              <w:spacing w:before="0" w:after="283"/>
              <w:jc w:val="left"/>
              <w:rPr>
                <w:sz w:val="4"/>
                <w:szCs w:val="4"/>
              </w:rPr>
            </w:pPr>
            <w:r>
              <w:rPr>
                <w:sz w:val="4"/>
                <w:szCs w:val="4"/>
              </w:rPr>
            </w:r>
          </w:p>
        </w:tc>
        <w:tc>
          <w:tcPr>
            <w:tcW w:w="3346" w:type="dxa"/>
            <w:tcBorders/>
            <w:vAlign w:val="center"/>
          </w:tcPr>
          <w:p>
            <w:pPr>
              <w:pStyle w:val="TableContents"/>
              <w:bidi w:val="0"/>
              <w:spacing w:before="0" w:after="283"/>
              <w:jc w:val="left"/>
              <w:rPr>
                <w:sz w:val="4"/>
                <w:szCs w:val="4"/>
              </w:rPr>
            </w:pPr>
            <w:r>
              <w:rPr>
                <w:sz w:val="4"/>
                <w:szCs w:val="4"/>
              </w:rPr>
            </w:r>
          </w:p>
        </w:tc>
        <w:tc>
          <w:tcPr>
            <w:tcW w:w="4976" w:type="dxa"/>
            <w:tcBorders/>
            <w:vAlign w:val="center"/>
          </w:tcPr>
          <w:p>
            <w:pPr>
              <w:pStyle w:val="TableContents"/>
              <w:bidi w:val="0"/>
              <w:spacing w:before="0" w:after="283"/>
              <w:jc w:val="left"/>
              <w:rPr>
                <w:sz w:val="4"/>
                <w:szCs w:val="4"/>
              </w:rPr>
            </w:pPr>
            <w:r>
              <w:rPr>
                <w:sz w:val="4"/>
                <w:szCs w:val="4"/>
              </w:rPr>
            </w:r>
          </w:p>
        </w:tc>
      </w:tr>
      <w:tr>
        <w:trPr/>
        <w:tc>
          <w:tcPr>
            <w:tcW w:w="1883" w:type="dxa"/>
            <w:vMerge w:val="restart"/>
            <w:tcBorders>
              <w:bottom w:val="single" w:sz="4" w:space="0" w:color="7855FA"/>
            </w:tcBorders>
            <w:tcMar>
              <w:top w:w="0" w:type="dxa"/>
              <w:left w:w="0" w:type="dxa"/>
              <w:right w:w="0" w:type="dxa"/>
            </w:tcMar>
            <w:vAlign w:val="center"/>
          </w:tcPr>
          <w:p>
            <w:pPr>
              <w:pStyle w:val="TableContents"/>
              <w:bidi w:val="0"/>
              <w:spacing w:before="120" w:after="283"/>
              <w:jc w:val="left"/>
              <w:rPr/>
            </w:pPr>
            <w:r>
              <w:rPr/>
              <w:drawing>
                <wp:inline distT="0" distB="0" distL="0" distR="0">
                  <wp:extent cx="647700" cy="647700"/>
                  <wp:effectExtent l="0" t="0" r="0" b="0"/>
                  <wp:docPr id="134"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23" descr=""/>
                          <pic:cNvPicPr>
                            <a:picLocks noChangeAspect="1" noChangeArrowheads="1"/>
                          </pic:cNvPicPr>
                        </pic:nvPicPr>
                        <pic:blipFill>
                          <a:blip r:embed="rId127"/>
                          <a:stretch>
                            <a:fillRect/>
                          </a:stretch>
                        </pic:blipFill>
                        <pic:spPr bwMode="auto">
                          <a:xfrm>
                            <a:off x="0" y="0"/>
                            <a:ext cx="647700" cy="647700"/>
                          </a:xfrm>
                          <a:prstGeom prst="rect">
                            <a:avLst/>
                          </a:prstGeom>
                        </pic:spPr>
                      </pic:pic>
                    </a:graphicData>
                  </a:graphic>
                </wp:inline>
              </w:drawing>
            </w:r>
          </w:p>
        </w:tc>
        <w:tc>
          <w:tcPr>
            <w:tcW w:w="3346" w:type="dxa"/>
            <w:tcBorders>
              <w:bottom w:val="single" w:sz="4" w:space="0" w:color="7855FA"/>
            </w:tcBorders>
            <w:tcMar>
              <w:top w:w="0" w:type="dxa"/>
              <w:left w:w="0" w:type="dxa"/>
              <w:right w:w="0" w:type="dxa"/>
            </w:tcMar>
            <w:vAlign w:val="center"/>
          </w:tcPr>
          <w:p>
            <w:pPr>
              <w:pStyle w:val="TableContents"/>
              <w:bidi w:val="0"/>
              <w:spacing w:before="0" w:after="60"/>
              <w:jc w:val="left"/>
              <w:rPr>
                <w:rFonts w:ascii="Montserrat;sans-serif" w:hAnsi="Montserrat;sans-serif"/>
                <w:b/>
                <w:color w:val="7855FA"/>
                <w:sz w:val="20"/>
              </w:rPr>
            </w:pPr>
            <w:r>
              <w:rPr>
                <w:rFonts w:ascii="Montserrat;sans-serif" w:hAnsi="Montserrat;sans-serif"/>
                <w:b/>
                <w:color w:val="7855FA"/>
                <w:sz w:val="20"/>
              </w:rPr>
              <w:t>Gayle Sheppard</w:t>
            </w:r>
          </w:p>
        </w:tc>
        <w:tc>
          <w:tcPr>
            <w:tcW w:w="4976" w:type="dxa"/>
            <w:tcBorders>
              <w:bottom w:val="single" w:sz="4" w:space="0" w:color="7855F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883" w:type="dxa"/>
            <w:vMerge w:val="continue"/>
            <w:tcBorders>
              <w:bottom w:val="single" w:sz="4" w:space="0" w:color="7855FA"/>
            </w:tcBorders>
            <w:tcMar>
              <w:top w:w="0" w:type="dxa"/>
              <w:left w:w="0" w:type="dxa"/>
              <w:right w:w="0" w:type="dxa"/>
            </w:tcMar>
            <w:vAlign w:val="center"/>
          </w:tcPr>
          <w:p>
            <w:pPr>
              <w:pStyle w:val="Normal"/>
              <w:bidi w:val="0"/>
              <w:jc w:val="left"/>
              <w:rPr/>
            </w:pPr>
            <w:r>
              <w:rPr/>
            </w:r>
          </w:p>
        </w:tc>
        <w:tc>
          <w:tcPr>
            <w:tcW w:w="3346" w:type="dxa"/>
            <w:tcBorders>
              <w:bottom w:val="single" w:sz="4" w:space="0" w:color="7855FA"/>
            </w:tcBorders>
            <w:tcMar>
              <w:top w:w="0" w:type="dxa"/>
              <w:left w:w="0" w:type="dxa"/>
              <w:right w:w="0" w:type="dxa"/>
            </w:tcMar>
            <w:vAlign w:val="center"/>
          </w:tcPr>
          <w:p>
            <w:pPr>
              <w:pStyle w:val="TableContents"/>
              <w:bidi w:val="0"/>
              <w:spacing w:before="120" w:after="283"/>
              <w:jc w:val="left"/>
              <w:rPr>
                <w:rFonts w:ascii="Montserrat Medium;sans-serif" w:hAnsi="Montserrat Medium;sans-serif"/>
                <w:sz w:val="18"/>
              </w:rPr>
            </w:pPr>
            <w:r>
              <w:rPr>
                <w:rFonts w:ascii="Montserrat;Montserrat Medium;sans-serif" w:hAnsi="Montserrat;Montserrat Medium;sans-serif"/>
                <w:b/>
                <w:color w:val="7855FA"/>
                <w:sz w:val="18"/>
              </w:rPr>
              <w:t>Age:</w:t>
            </w:r>
            <w:r>
              <w:rPr>
                <w:rFonts w:ascii="Montserrat Medium;sans-serif" w:hAnsi="Montserrat Medium;sans-serif"/>
                <w:color w:val="594DFF"/>
                <w:sz w:val="18"/>
              </w:rPr>
              <w:t xml:space="preserve"> </w:t>
            </w:r>
            <w:r>
              <w:rPr>
                <w:rFonts w:ascii="Montserrat;Montserrat Medium;sans-serif" w:hAnsi="Montserrat;Montserrat Medium;sans-serif"/>
                <w:b/>
                <w:color w:val="000000"/>
                <w:sz w:val="18"/>
              </w:rPr>
              <w:t>72</w:t>
            </w:r>
          </w:p>
          <w:p>
            <w:pPr>
              <w:pStyle w:val="TableContents"/>
              <w:bidi w:val="0"/>
              <w:spacing w:before="60" w:after="283"/>
              <w:jc w:val="left"/>
              <w:rPr>
                <w:rFonts w:ascii="Montserrat Medium;sans-serif" w:hAnsi="Montserrat Medium;sans-serif"/>
                <w:sz w:val="18"/>
              </w:rPr>
            </w:pPr>
            <w:r>
              <w:rPr>
                <w:rFonts w:ascii="Montserrat;Montserrat Medium;sans-serif" w:hAnsi="Montserrat;Montserrat Medium;sans-serif"/>
                <w:b/>
                <w:color w:val="7855FA"/>
                <w:sz w:val="18"/>
              </w:rPr>
              <w:t>Director since:</w:t>
            </w:r>
            <w:r>
              <w:rPr>
                <w:rFonts w:ascii="Montserrat Medium;sans-serif" w:hAnsi="Montserrat Medium;sans-serif"/>
                <w:color w:val="6C60A5"/>
                <w:sz w:val="18"/>
              </w:rPr>
              <w:t xml:space="preserve"> </w:t>
            </w:r>
            <w:r>
              <w:rPr>
                <w:rFonts w:ascii="Montserrat;Montserrat Medium;sans-serif" w:hAnsi="Montserrat;Montserrat Medium;sans-serif"/>
                <w:b/>
                <w:color w:val="000000"/>
                <w:sz w:val="18"/>
              </w:rPr>
              <w:t>2022</w:t>
            </w:r>
          </w:p>
          <w:p>
            <w:pPr>
              <w:pStyle w:val="TableContents"/>
              <w:bidi w:val="0"/>
              <w:spacing w:before="120" w:after="283"/>
              <w:jc w:val="left"/>
              <w:rPr>
                <w:rFonts w:ascii="Montserrat;sans-serif" w:hAnsi="Montserrat;sans-serif"/>
                <w:b/>
                <w:color w:val="000000"/>
                <w:sz w:val="18"/>
              </w:rPr>
            </w:pPr>
            <w:r>
              <w:rPr>
                <w:rFonts w:ascii="Montserrat;sans-serif" w:hAnsi="Montserrat;sans-serif"/>
                <w:b/>
                <w:color w:val="000000"/>
                <w:sz w:val="18"/>
              </w:rPr>
              <w:t>Independent</w:t>
            </w:r>
          </w:p>
          <w:p>
            <w:pPr>
              <w:pStyle w:val="TableContents"/>
              <w:bidi w:val="0"/>
              <w:spacing w:before="120" w:after="283"/>
              <w:jc w:val="left"/>
              <w:rPr>
                <w:rFonts w:ascii="Montserrat;sans-serif" w:hAnsi="Montserrat;sans-serif"/>
                <w:b/>
                <w:color w:val="7855FA"/>
                <w:sz w:val="18"/>
              </w:rPr>
            </w:pPr>
            <w:r>
              <w:rPr>
                <w:rFonts w:ascii="Montserrat;sans-serif" w:hAnsi="Montserrat;sans-serif"/>
                <w:b/>
                <w:color w:val="7855FA"/>
                <w:sz w:val="18"/>
              </w:rPr>
              <w:t>Board Committees:</w:t>
            </w:r>
          </w:p>
          <w:p>
            <w:pPr>
              <w:pStyle w:val="TableContents"/>
              <w:bidi w:val="0"/>
              <w:spacing w:before="0" w:after="0"/>
              <w:jc w:val="left"/>
              <w:rPr>
                <w:color w:val="7855FA"/>
              </w:rPr>
            </w:pPr>
            <w:r>
              <w:rPr>
                <w:color w:val="7855FA"/>
              </w:rPr>
              <w:t>•</w:t>
            </w:r>
          </w:p>
          <w:p>
            <w:pPr>
              <w:pStyle w:val="TableContents"/>
              <w:bidi w:val="0"/>
              <w:spacing w:before="0" w:after="0"/>
              <w:jc w:val="left"/>
              <w:rPr>
                <w:rFonts w:ascii="Montserrat;sans-serif" w:hAnsi="Montserrat;sans-serif"/>
                <w:color w:val="000000"/>
                <w:sz w:val="18"/>
              </w:rPr>
            </w:pPr>
            <w:r>
              <w:rPr>
                <w:rFonts w:ascii="Montserrat;sans-serif" w:hAnsi="Montserrat;sans-serif"/>
                <w:color w:val="000000"/>
                <w:sz w:val="18"/>
              </w:rPr>
              <w:t>Audit</w:t>
            </w:r>
          </w:p>
          <w:p>
            <w:pPr>
              <w:pStyle w:val="TableContents"/>
              <w:bidi w:val="0"/>
              <w:spacing w:before="0" w:after="60"/>
              <w:jc w:val="left"/>
              <w:rPr>
                <w:color w:val="7855FA"/>
              </w:rPr>
            </w:pPr>
            <w:r>
              <w:rPr>
                <w:color w:val="7855FA"/>
              </w:rPr>
              <w:t>•</w:t>
            </w:r>
          </w:p>
          <w:p>
            <w:pPr>
              <w:pStyle w:val="TableContents"/>
              <w:bidi w:val="0"/>
              <w:spacing w:before="0" w:after="60"/>
              <w:jc w:val="left"/>
              <w:rPr>
                <w:rFonts w:ascii="Montserrat;sans-serif" w:hAnsi="Montserrat;sans-serif"/>
                <w:color w:val="000000"/>
                <w:sz w:val="18"/>
              </w:rPr>
            </w:pPr>
            <w:r>
              <w:rPr>
                <w:rFonts w:ascii="Montserrat;sans-serif" w:hAnsi="Montserrat;sans-serif"/>
                <w:color w:val="000000"/>
                <w:sz w:val="18"/>
              </w:rPr>
              <w:t>Security and Privacy (Chair)</w:t>
            </w:r>
          </w:p>
        </w:tc>
        <w:tc>
          <w:tcPr>
            <w:tcW w:w="4976" w:type="dxa"/>
            <w:tcBorders>
              <w:bottom w:val="single" w:sz="4" w:space="0" w:color="7855FA"/>
            </w:tcBorders>
            <w:tcMar>
              <w:top w:w="0" w:type="dxa"/>
              <w:left w:w="0" w:type="dxa"/>
              <w:right w:w="0" w:type="dxa"/>
            </w:tcMar>
            <w:vAlign w:val="center"/>
          </w:tcPr>
          <w:p>
            <w:pPr>
              <w:pStyle w:val="TableContents"/>
              <w:bidi w:val="0"/>
              <w:spacing w:before="120" w:after="283"/>
              <w:jc w:val="left"/>
              <w:rPr>
                <w:rFonts w:ascii="Montserrat;sans-serif" w:hAnsi="Montserrat;sans-serif"/>
                <w:b/>
                <w:color w:val="7855FA"/>
                <w:sz w:val="18"/>
              </w:rPr>
            </w:pPr>
            <w:r>
              <w:rPr>
                <w:rFonts w:ascii="Montserrat;sans-serif" w:hAnsi="Montserrat;sans-serif"/>
                <w:b/>
                <w:color w:val="7855FA"/>
                <w:sz w:val="18"/>
              </w:rPr>
              <w:t>Other public boards during the past five years:</w:t>
            </w:r>
          </w:p>
          <w:p>
            <w:pPr>
              <w:pStyle w:val="TableContents"/>
              <w:bidi w:val="0"/>
              <w:spacing w:before="0" w:after="0"/>
              <w:jc w:val="left"/>
              <w:rPr>
                <w:color w:val="594DFF"/>
              </w:rPr>
            </w:pPr>
            <w:r>
              <w:rPr>
                <w:color w:val="594DFF"/>
              </w:rPr>
              <w:t>•</w:t>
            </w:r>
          </w:p>
          <w:p>
            <w:pPr>
              <w:pStyle w:val="TableContents"/>
              <w:bidi w:val="0"/>
              <w:spacing w:before="0" w:after="0"/>
              <w:jc w:val="left"/>
              <w:rPr>
                <w:rFonts w:ascii="Montserrat;sans-serif" w:hAnsi="Montserrat;sans-serif"/>
                <w:color w:val="000000"/>
                <w:sz w:val="18"/>
              </w:rPr>
            </w:pPr>
            <w:r>
              <w:rPr>
                <w:rFonts w:ascii="Montserrat;sans-serif" w:hAnsi="Montserrat;sans-serif"/>
                <w:color w:val="000000"/>
                <w:sz w:val="18"/>
              </w:rPr>
              <w:t>Envista Holdings Corporation (2020-2021)</w:t>
            </w:r>
          </w:p>
        </w:tc>
      </w:tr>
      <w:tr>
        <w:trPr/>
        <w:tc>
          <w:tcPr>
            <w:tcW w:w="10205" w:type="dxa"/>
            <w:gridSpan w:val="3"/>
            <w:tcBorders>
              <w:bottom w:val="single" w:sz="4" w:space="0" w:color="7855FA"/>
            </w:tcBorders>
            <w:tcMar>
              <w:top w:w="0" w:type="dxa"/>
              <w:left w:w="0" w:type="dxa"/>
              <w:right w:w="0" w:type="dxa"/>
            </w:tcMar>
            <w:vAlign w:val="center"/>
          </w:tcPr>
          <w:p>
            <w:pPr>
              <w:pStyle w:val="TableContents"/>
              <w:bidi w:val="0"/>
              <w:spacing w:before="120" w:after="283"/>
              <w:jc w:val="left"/>
              <w:rPr>
                <w:rFonts w:ascii="Montserrat;sans-serif" w:hAnsi="Montserrat;sans-serif"/>
                <w:b/>
                <w:color w:val="7855FA"/>
                <w:sz w:val="18"/>
              </w:rPr>
            </w:pPr>
            <w:r>
              <w:rPr>
                <w:rFonts w:ascii="Montserrat;sans-serif" w:hAnsi="Montserrat;sans-serif"/>
                <w:b/>
                <w:color w:val="7855FA"/>
                <w:sz w:val="18"/>
              </w:rPr>
              <w:t>Professional background</w:t>
            </w:r>
          </w:p>
          <w:p>
            <w:pPr>
              <w:pStyle w:val="TableContents"/>
              <w:bidi w:val="0"/>
              <w:spacing w:before="120" w:after="283"/>
              <w:jc w:val="both"/>
              <w:rPr>
                <w:rFonts w:ascii="Montserrat;sans-serif" w:hAnsi="Montserrat;sans-serif"/>
                <w:color w:val="000000"/>
                <w:sz w:val="18"/>
              </w:rPr>
            </w:pPr>
            <w:r>
              <w:rPr>
                <w:rFonts w:ascii="Montserrat;sans-serif" w:hAnsi="Montserrat;sans-serif"/>
                <w:color w:val="000000"/>
                <w:sz w:val="18"/>
              </w:rPr>
              <w:t>Ms. Sheppard is a seasoned technology executive and board director with over four decades of experience in software, cloud infrastructure, artificial intelligence, and cybersecurity. She served as Chief Executive Officer of Bright Machines, Inc., a software-defined, robotics-led factory automation company, where she pioneered software-defined manufacturing through AI-driven automation and modular robotics, enhancing resiliency in global electronics and data center supply chains. At Microsoft Corporation, a multinational technology company specializing in software, cloud</w:t>
              <w:br/>
              <w:t>services, and AI, she held multiple senior roles, including Corporate Vice President and Chief Technology Officer for Microsoft Asia from September 2022 to November 2022, Head of Global Expansion and Digital Transformation for Microsoft Cloud and AI from September 2020 to September 2022, and Corporate Vice President of Azure Data from April 2019 to August 2020. In these roles, she led the development of sovereign cloud platforms, confidential computing architectures, and hyperscale data environments supporting regulated industries and government customers. Ms. Sheppard has deep expertise in AI and data platforms, having led Microsoft’s $15B+ Azure Data portfolio and served</w:t>
              <w:br/>
              <w:t>as CEO and Chair of Saffron Technology, an AI cognitive reasoning company acquired by Intel Corporation, a multinational semiconductor company, and subsequently as Vice President and General Manager of the Saffron AI/ML Division at Intel. She has extensive experience leading the development of advanced AI and data platforms and</w:t>
              <w:br/>
              <w:t xml:space="preserve">overseeing secure cloud architectures, large-scale digital transformation initiatives and cybersecurity strategies for regulated industries and enterprise and government customers. </w:t>
            </w:r>
          </w:p>
          <w:p>
            <w:pPr>
              <w:pStyle w:val="TableContents"/>
              <w:bidi w:val="0"/>
              <w:spacing w:before="120" w:after="283"/>
              <w:jc w:val="both"/>
              <w:rPr>
                <w:rFonts w:ascii="Montserrat;sans-serif" w:hAnsi="Montserrat;sans-serif"/>
                <w:color w:val="000000"/>
                <w:sz w:val="18"/>
              </w:rPr>
            </w:pPr>
            <w:r>
              <w:rPr>
                <w:rFonts w:ascii="Montserrat;sans-serif" w:hAnsi="Montserrat;sans-serif"/>
                <w:color w:val="000000"/>
                <w:sz w:val="18"/>
              </w:rPr>
              <w:t>Ms. Sheppard has served as a member of the board of directors of Astroscale Holdings Inc., an on-orbit satellite servicing technology company extending satellite life and space sustainability listed on the Tokyo Stock Exchange, since July 2023. She was appointed Lead Independent Director of Astroscale in July 2026. She previously served as a member of the board of directors of Envista Holdings Corporation, a medical technology holding company, from July 2020 to November 2021. Ms. Sheppard’s board membership and advisory service at private technology companies contributing to innovation in AI, neurotech, and enterprise software further support her qualifications in strategic oversight and emerging technology governance.</w:t>
            </w:r>
          </w:p>
          <w:p>
            <w:pPr>
              <w:pStyle w:val="TableContents"/>
              <w:bidi w:val="0"/>
              <w:spacing w:before="120" w:after="283"/>
              <w:jc w:val="left"/>
              <w:rPr>
                <w:rFonts w:ascii="Montserrat;sans-serif" w:hAnsi="Montserrat;sans-serif"/>
                <w:b/>
                <w:color w:val="7855FA"/>
                <w:sz w:val="18"/>
              </w:rPr>
            </w:pPr>
            <w:r>
              <w:rPr>
                <w:rFonts w:ascii="Montserrat;sans-serif" w:hAnsi="Montserrat;sans-serif"/>
                <w:b/>
                <w:color w:val="7855FA"/>
                <w:sz w:val="18"/>
              </w:rPr>
              <w:t>Education</w:t>
            </w:r>
          </w:p>
          <w:p>
            <w:pPr>
              <w:pStyle w:val="TableContents"/>
              <w:bidi w:val="0"/>
              <w:spacing w:before="120" w:after="283"/>
              <w:jc w:val="both"/>
              <w:rPr>
                <w:rFonts w:ascii="Montserrat;sans-serif" w:hAnsi="Montserrat;sans-serif"/>
                <w:color w:val="000000"/>
                <w:sz w:val="18"/>
              </w:rPr>
            </w:pPr>
            <w:r>
              <w:rPr>
                <w:rFonts w:ascii="Montserrat;sans-serif" w:hAnsi="Montserrat;sans-serif"/>
                <w:color w:val="000000"/>
                <w:sz w:val="18"/>
              </w:rPr>
              <w:t>B.S. in Business Administration, University of South Florida</w:t>
            </w:r>
          </w:p>
          <w:p>
            <w:pPr>
              <w:pStyle w:val="TableContents"/>
              <w:bidi w:val="0"/>
              <w:jc w:val="both"/>
              <w:rPr>
                <w:rFonts w:ascii="Montserrat;sans-serif" w:hAnsi="Montserrat;sans-serif"/>
                <w:color w:val="000000"/>
                <w:sz w:val="18"/>
              </w:rPr>
            </w:pPr>
            <w:r>
              <w:rPr>
                <w:rFonts w:ascii="Montserrat;sans-serif" w:hAnsi="Montserrat;sans-serif"/>
                <w:color w:val="000000"/>
                <w:sz w:val="18"/>
              </w:rPr>
              <w:t>Certificate in Artificial Intelligence, The MIT Sloan School of Management</w:t>
            </w:r>
          </w:p>
          <w:p>
            <w:pPr>
              <w:pStyle w:val="TableContents"/>
              <w:bidi w:val="0"/>
              <w:jc w:val="both"/>
              <w:rPr>
                <w:rFonts w:ascii="Montserrat;sans-serif" w:hAnsi="Montserrat;sans-serif"/>
                <w:color w:val="000000"/>
                <w:sz w:val="18"/>
              </w:rPr>
            </w:pPr>
            <w:r>
              <w:rPr>
                <w:rFonts w:ascii="Montserrat;sans-serif" w:hAnsi="Montserrat;sans-serif"/>
                <w:color w:val="000000"/>
                <w:sz w:val="18"/>
              </w:rPr>
              <w:t>Certificate in Corporate Governance, The Wharton School</w:t>
            </w:r>
          </w:p>
          <w:p>
            <w:pPr>
              <w:pStyle w:val="TableContents"/>
              <w:bidi w:val="0"/>
              <w:jc w:val="both"/>
              <w:rPr>
                <w:rFonts w:ascii="Montserrat;sans-serif" w:hAnsi="Montserrat;sans-serif"/>
                <w:color w:val="000000"/>
                <w:sz w:val="18"/>
              </w:rPr>
            </w:pPr>
            <w:r>
              <w:rPr>
                <w:rFonts w:ascii="Montserrat;sans-serif" w:hAnsi="Montserrat;sans-serif"/>
                <w:color w:val="000000"/>
                <w:sz w:val="18"/>
              </w:rPr>
              <w:t>Professional Certificate in Cybersecurity, MIT xPRO</w:t>
            </w:r>
          </w:p>
          <w:p>
            <w:pPr>
              <w:pStyle w:val="TableContents"/>
              <w:bidi w:val="0"/>
              <w:spacing w:before="120" w:after="283"/>
              <w:jc w:val="left"/>
              <w:rPr>
                <w:rFonts w:ascii="Montserrat;sans-serif" w:hAnsi="Montserrat;sans-serif"/>
                <w:b/>
                <w:color w:val="7855FA"/>
                <w:sz w:val="18"/>
              </w:rPr>
            </w:pPr>
            <w:r>
              <w:rPr>
                <w:rFonts w:ascii="Montserrat;sans-serif" w:hAnsi="Montserrat;sans-serif"/>
                <w:b/>
                <w:color w:val="7855FA"/>
                <w:sz w:val="18"/>
              </w:rPr>
              <w:t>Key skills and experience</w:t>
            </w:r>
          </w:p>
          <w:p>
            <w:pPr>
              <w:pStyle w:val="TableContents"/>
              <w:bidi w:val="0"/>
              <w:spacing w:before="120" w:after="60"/>
              <w:jc w:val="both"/>
              <w:rPr>
                <w:rFonts w:ascii="Montserrat;sans-serif" w:hAnsi="Montserrat;sans-serif"/>
                <w:color w:val="000000"/>
                <w:sz w:val="18"/>
              </w:rPr>
            </w:pPr>
            <w:r>
              <w:rPr>
                <w:rFonts w:ascii="Montserrat;sans-serif" w:hAnsi="Montserrat;sans-serif"/>
                <w:color w:val="000000"/>
                <w:sz w:val="18"/>
              </w:rPr>
              <w:t>Our Board believes Ms. Sheppard is qualified to serve as a director based on her combination of global operational leadership and deep technology expertise, including in enterprise data, AI, cloud services, and cybersecurity. Her experience leading large-scale digital transformation and customer innovation initiatives supports the Board’s oversight of scalable operations, differentiated solutions, and alignment with evolving technology trends. Her background in global sales, cybersecurity, and regulated industry transformation enhances the Board’s understanding of topline growth, enterprise risk, and navigating complex regulatory environments. </w:t>
            </w:r>
          </w:p>
        </w:tc>
      </w:tr>
    </w:tbl>
    <w:p>
      <w:pPr>
        <w:pStyle w:val="TextBody"/>
        <w:bidi w:val="0"/>
        <w:jc w:val="both"/>
        <w:rPr/>
      </w:pPr>
      <w:r>
        <w:rPr/>
        <w:t> </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2641"/>
        <w:gridCol w:w="331"/>
      </w:tblGrid>
      <w:tr>
        <w:trPr/>
        <w:tc>
          <w:tcPr>
            <w:tcW w:w="26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135"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24" descr=""/>
                          <pic:cNvPicPr>
                            <a:picLocks noChangeAspect="1" noChangeArrowheads="1"/>
                          </pic:cNvPicPr>
                        </pic:nvPicPr>
                        <pic:blipFill>
                          <a:blip r:embed="rId128"/>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3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27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rFonts w:ascii="Montserrat;sans-serif" w:hAnsi="Montserrat;sans-serif"/>
          <w:color w:val="000000"/>
          <w:sz w:val="13"/>
        </w:rPr>
      </w:pPr>
      <w:r>
        <w:rPr>
          <w:rFonts w:ascii="Montserrat;sans-serif" w:hAnsi="Montserrat;sans-serif"/>
          <w:color w:val="000000"/>
          <w:sz w:val="13"/>
        </w:rPr>
        <w:t>Corporate Governance</w:t>
      </w:r>
    </w:p>
    <w:p>
      <w:pPr>
        <w:pStyle w:val="TextBody"/>
        <w:bidi w:val="0"/>
        <w:spacing w:before="60" w:after="283"/>
        <w:jc w:val="left"/>
        <w:rPr>
          <w:rFonts w:ascii="Montserrat;sans-serif" w:hAnsi="Montserrat;sans-serif"/>
          <w:color w:val="000000"/>
          <w:sz w:val="12"/>
        </w:rPr>
      </w:pPr>
      <w:r>
        <w:rPr>
          <w:rFonts w:ascii="Montserrat;sans-serif" w:hAnsi="Montserrat;sans-serif"/>
          <w:color w:val="000000"/>
          <w:sz w:val="12"/>
        </w:rPr>
        <w:t>Proposal 1: Election of Directors</w:t>
      </w:r>
    </w:p>
    <w:p>
      <w:pPr>
        <w:pStyle w:val="TextBody"/>
        <w:bidi w:val="0"/>
        <w:jc w:val="left"/>
        <w:rPr/>
      </w:pPr>
      <w:r>
        <w:rPr/>
        <w:t> </w:t>
      </w:r>
    </w:p>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977"/>
        <w:gridCol w:w="3102"/>
        <w:gridCol w:w="5126"/>
      </w:tblGrid>
      <w:tr>
        <w:trPr/>
        <w:tc>
          <w:tcPr>
            <w:tcW w:w="1977" w:type="dxa"/>
            <w:tcBorders/>
            <w:vAlign w:val="center"/>
          </w:tcPr>
          <w:p>
            <w:pPr>
              <w:pStyle w:val="TableContents"/>
              <w:bidi w:val="0"/>
              <w:spacing w:before="0" w:after="283"/>
              <w:jc w:val="left"/>
              <w:rPr>
                <w:sz w:val="4"/>
                <w:szCs w:val="4"/>
              </w:rPr>
            </w:pPr>
            <w:r>
              <w:rPr>
                <w:sz w:val="4"/>
                <w:szCs w:val="4"/>
              </w:rPr>
            </w:r>
          </w:p>
        </w:tc>
        <w:tc>
          <w:tcPr>
            <w:tcW w:w="3102" w:type="dxa"/>
            <w:tcBorders/>
            <w:vAlign w:val="center"/>
          </w:tcPr>
          <w:p>
            <w:pPr>
              <w:pStyle w:val="TableContents"/>
              <w:bidi w:val="0"/>
              <w:spacing w:before="0" w:after="283"/>
              <w:jc w:val="left"/>
              <w:rPr>
                <w:sz w:val="4"/>
                <w:szCs w:val="4"/>
              </w:rPr>
            </w:pPr>
            <w:r>
              <w:rPr>
                <w:sz w:val="4"/>
                <w:szCs w:val="4"/>
              </w:rPr>
            </w:r>
          </w:p>
        </w:tc>
        <w:tc>
          <w:tcPr>
            <w:tcW w:w="5126" w:type="dxa"/>
            <w:tcBorders/>
            <w:vAlign w:val="center"/>
          </w:tcPr>
          <w:p>
            <w:pPr>
              <w:pStyle w:val="TableContents"/>
              <w:bidi w:val="0"/>
              <w:spacing w:before="0" w:after="283"/>
              <w:jc w:val="left"/>
              <w:rPr>
                <w:sz w:val="4"/>
                <w:szCs w:val="4"/>
              </w:rPr>
            </w:pPr>
            <w:r>
              <w:rPr>
                <w:sz w:val="4"/>
                <w:szCs w:val="4"/>
              </w:rPr>
            </w:r>
          </w:p>
        </w:tc>
      </w:tr>
      <w:tr>
        <w:trPr/>
        <w:tc>
          <w:tcPr>
            <w:tcW w:w="1977" w:type="dxa"/>
            <w:vMerge w:val="restart"/>
            <w:tcBorders>
              <w:bottom w:val="single" w:sz="4" w:space="0" w:color="7855FA"/>
            </w:tcBorders>
            <w:tcMar>
              <w:top w:w="0" w:type="dxa"/>
              <w:left w:w="0" w:type="dxa"/>
              <w:right w:w="0" w:type="dxa"/>
            </w:tcMar>
            <w:vAlign w:val="center"/>
          </w:tcPr>
          <w:p>
            <w:pPr>
              <w:pStyle w:val="TableContents"/>
              <w:bidi w:val="0"/>
              <w:spacing w:before="120" w:after="283"/>
              <w:jc w:val="left"/>
              <w:rPr/>
            </w:pPr>
            <w:r>
              <w:rPr/>
              <w:drawing>
                <wp:inline distT="0" distB="0" distL="0" distR="0">
                  <wp:extent cx="647700" cy="657225"/>
                  <wp:effectExtent l="0" t="0" r="0" b="0"/>
                  <wp:docPr id="136"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25" descr=""/>
                          <pic:cNvPicPr>
                            <a:picLocks noChangeAspect="1" noChangeArrowheads="1"/>
                          </pic:cNvPicPr>
                        </pic:nvPicPr>
                        <pic:blipFill>
                          <a:blip r:embed="rId129"/>
                          <a:stretch>
                            <a:fillRect/>
                          </a:stretch>
                        </pic:blipFill>
                        <pic:spPr bwMode="auto">
                          <a:xfrm>
                            <a:off x="0" y="0"/>
                            <a:ext cx="647700" cy="657225"/>
                          </a:xfrm>
                          <a:prstGeom prst="rect">
                            <a:avLst/>
                          </a:prstGeom>
                        </pic:spPr>
                      </pic:pic>
                    </a:graphicData>
                  </a:graphic>
                </wp:inline>
              </w:drawing>
            </w:r>
          </w:p>
        </w:tc>
        <w:tc>
          <w:tcPr>
            <w:tcW w:w="3102" w:type="dxa"/>
            <w:tcBorders>
              <w:bottom w:val="single" w:sz="4" w:space="0" w:color="7855FA"/>
            </w:tcBorders>
            <w:tcMar>
              <w:top w:w="0" w:type="dxa"/>
              <w:left w:w="0" w:type="dxa"/>
              <w:right w:w="0" w:type="dxa"/>
            </w:tcMar>
            <w:vAlign w:val="center"/>
          </w:tcPr>
          <w:p>
            <w:pPr>
              <w:pStyle w:val="TableContents"/>
              <w:bidi w:val="0"/>
              <w:spacing w:before="0" w:after="60"/>
              <w:jc w:val="left"/>
              <w:rPr>
                <w:rFonts w:ascii="Montserrat;sans-serif" w:hAnsi="Montserrat;sans-serif"/>
                <w:b/>
                <w:color w:val="7855FA"/>
                <w:sz w:val="20"/>
              </w:rPr>
            </w:pPr>
            <w:r>
              <w:rPr>
                <w:rFonts w:ascii="Montserrat;sans-serif" w:hAnsi="Montserrat;sans-serif"/>
                <w:b/>
                <w:color w:val="7855FA"/>
                <w:sz w:val="20"/>
              </w:rPr>
              <w:t>Mark Templeton</w:t>
            </w:r>
          </w:p>
        </w:tc>
        <w:tc>
          <w:tcPr>
            <w:tcW w:w="5126" w:type="dxa"/>
            <w:tcBorders>
              <w:bottom w:val="single" w:sz="4" w:space="0" w:color="7855FA"/>
            </w:tcBorders>
            <w:tcMar>
              <w:top w:w="0" w:type="dxa"/>
              <w:left w:w="0" w:type="dxa"/>
              <w:right w:w="0" w:type="dxa"/>
            </w:tcMar>
            <w:vAlign w:val="center"/>
          </w:tcPr>
          <w:p>
            <w:pPr>
              <w:pStyle w:val="TableContents"/>
              <w:bidi w:val="0"/>
              <w:spacing w:before="0" w:after="60"/>
              <w:jc w:val="left"/>
              <w:rPr/>
            </w:pPr>
            <w:r>
              <w:rPr/>
              <w:t> </w:t>
            </w:r>
          </w:p>
        </w:tc>
      </w:tr>
      <w:tr>
        <w:trPr/>
        <w:tc>
          <w:tcPr>
            <w:tcW w:w="1977" w:type="dxa"/>
            <w:vMerge w:val="continue"/>
            <w:tcBorders>
              <w:bottom w:val="single" w:sz="4" w:space="0" w:color="7855FA"/>
            </w:tcBorders>
            <w:tcMar>
              <w:top w:w="0" w:type="dxa"/>
              <w:left w:w="0" w:type="dxa"/>
              <w:right w:w="0" w:type="dxa"/>
            </w:tcMar>
            <w:vAlign w:val="center"/>
          </w:tcPr>
          <w:p>
            <w:pPr>
              <w:pStyle w:val="Normal"/>
              <w:bidi w:val="0"/>
              <w:jc w:val="left"/>
              <w:rPr/>
            </w:pPr>
            <w:r>
              <w:rPr/>
            </w:r>
          </w:p>
        </w:tc>
        <w:tc>
          <w:tcPr>
            <w:tcW w:w="3102" w:type="dxa"/>
            <w:tcBorders>
              <w:bottom w:val="single" w:sz="4" w:space="0" w:color="7855FA"/>
            </w:tcBorders>
            <w:tcMar>
              <w:top w:w="0" w:type="dxa"/>
              <w:left w:w="0" w:type="dxa"/>
              <w:right w:w="0" w:type="dxa"/>
            </w:tcMar>
            <w:vAlign w:val="center"/>
          </w:tcPr>
          <w:p>
            <w:pPr>
              <w:pStyle w:val="TableContents"/>
              <w:bidi w:val="0"/>
              <w:spacing w:before="120" w:after="283"/>
              <w:jc w:val="left"/>
              <w:rPr>
                <w:rFonts w:ascii="Montserrat Medium;sans-serif" w:hAnsi="Montserrat Medium;sans-serif"/>
                <w:sz w:val="18"/>
              </w:rPr>
            </w:pPr>
            <w:r>
              <w:rPr>
                <w:rFonts w:ascii="Montserrat;Montserrat Medium;sans-serif" w:hAnsi="Montserrat;Montserrat Medium;sans-serif"/>
                <w:b/>
                <w:color w:val="7855FA"/>
                <w:sz w:val="18"/>
              </w:rPr>
              <w:t>Age:</w:t>
            </w:r>
            <w:r>
              <w:rPr>
                <w:rFonts w:ascii="Montserrat Medium;sans-serif" w:hAnsi="Montserrat Medium;sans-serif"/>
                <w:color w:val="6C60A5"/>
                <w:sz w:val="18"/>
              </w:rPr>
              <w:t xml:space="preserve"> </w:t>
            </w:r>
            <w:r>
              <w:rPr>
                <w:rFonts w:ascii="Montserrat;Montserrat Medium;sans-serif" w:hAnsi="Montserrat;Montserrat Medium;sans-serif"/>
                <w:b/>
                <w:color w:val="000000"/>
                <w:sz w:val="18"/>
              </w:rPr>
              <w:t>74</w:t>
            </w:r>
          </w:p>
          <w:p>
            <w:pPr>
              <w:pStyle w:val="TableContents"/>
              <w:bidi w:val="0"/>
              <w:spacing w:before="60" w:after="283"/>
              <w:jc w:val="left"/>
              <w:rPr>
                <w:rFonts w:ascii="Montserrat Medium;sans-serif" w:hAnsi="Montserrat Medium;sans-serif"/>
                <w:sz w:val="18"/>
              </w:rPr>
            </w:pPr>
            <w:r>
              <w:rPr>
                <w:rFonts w:ascii="Montserrat;Montserrat Medium;sans-serif" w:hAnsi="Montserrat;Montserrat Medium;sans-serif"/>
                <w:b/>
                <w:color w:val="7855FA"/>
                <w:sz w:val="18"/>
              </w:rPr>
              <w:t>Director since:</w:t>
            </w:r>
            <w:r>
              <w:rPr>
                <w:rFonts w:ascii="Montserrat Medium;sans-serif" w:hAnsi="Montserrat Medium;sans-serif"/>
                <w:color w:val="6C60A5"/>
                <w:sz w:val="18"/>
              </w:rPr>
              <w:t xml:space="preserve"> </w:t>
            </w:r>
            <w:r>
              <w:rPr>
                <w:rFonts w:ascii="Montserrat;Montserrat Medium;sans-serif" w:hAnsi="Montserrat;Montserrat Medium;sans-serif"/>
                <w:b/>
                <w:color w:val="000000"/>
                <w:sz w:val="18"/>
              </w:rPr>
              <w:t>2023</w:t>
            </w:r>
          </w:p>
          <w:p>
            <w:pPr>
              <w:pStyle w:val="TableContents"/>
              <w:bidi w:val="0"/>
              <w:spacing w:before="120" w:after="283"/>
              <w:jc w:val="left"/>
              <w:rPr>
                <w:rFonts w:ascii="Montserrat;sans-serif" w:hAnsi="Montserrat;sans-serif"/>
                <w:b/>
                <w:color w:val="000000"/>
                <w:sz w:val="18"/>
              </w:rPr>
            </w:pPr>
            <w:r>
              <w:rPr>
                <w:rFonts w:ascii="Montserrat;sans-serif" w:hAnsi="Montserrat;sans-serif"/>
                <w:b/>
                <w:color w:val="000000"/>
                <w:sz w:val="18"/>
              </w:rPr>
              <w:t>Independent</w:t>
            </w:r>
          </w:p>
          <w:p>
            <w:pPr>
              <w:pStyle w:val="TableContents"/>
              <w:bidi w:val="0"/>
              <w:spacing w:before="120" w:after="283"/>
              <w:jc w:val="left"/>
              <w:rPr>
                <w:rFonts w:ascii="Montserrat;sans-serif" w:hAnsi="Montserrat;sans-serif"/>
                <w:b/>
                <w:color w:val="7855FA"/>
                <w:sz w:val="18"/>
              </w:rPr>
            </w:pPr>
            <w:r>
              <w:rPr>
                <w:rFonts w:ascii="Montserrat;sans-serif" w:hAnsi="Montserrat;sans-serif"/>
                <w:b/>
                <w:color w:val="7855FA"/>
                <w:sz w:val="18"/>
              </w:rPr>
              <w:t>Board Committees:</w:t>
            </w:r>
          </w:p>
          <w:p>
            <w:pPr>
              <w:pStyle w:val="TableContents"/>
              <w:bidi w:val="0"/>
              <w:spacing w:before="0" w:after="0"/>
              <w:jc w:val="left"/>
              <w:rPr>
                <w:color w:val="7855FA"/>
              </w:rPr>
            </w:pPr>
            <w:r>
              <w:rPr>
                <w:color w:val="7855FA"/>
              </w:rPr>
              <w:t>•</w:t>
            </w:r>
          </w:p>
          <w:p>
            <w:pPr>
              <w:pStyle w:val="TableContents"/>
              <w:bidi w:val="0"/>
              <w:spacing w:before="0" w:after="0"/>
              <w:jc w:val="left"/>
              <w:rPr>
                <w:rFonts w:ascii="Montserrat;sans-serif" w:hAnsi="Montserrat;sans-serif"/>
                <w:color w:val="000000"/>
                <w:sz w:val="18"/>
              </w:rPr>
            </w:pPr>
            <w:r>
              <w:rPr>
                <w:rFonts w:ascii="Montserrat;sans-serif" w:hAnsi="Montserrat;sans-serif"/>
                <w:color w:val="000000"/>
                <w:sz w:val="18"/>
              </w:rPr>
              <w:t>Compensation (Chair)</w:t>
            </w:r>
          </w:p>
          <w:p>
            <w:pPr>
              <w:pStyle w:val="TableContents"/>
              <w:bidi w:val="0"/>
              <w:spacing w:before="0" w:after="60"/>
              <w:jc w:val="left"/>
              <w:rPr>
                <w:color w:val="7855FA"/>
              </w:rPr>
            </w:pPr>
            <w:r>
              <w:rPr>
                <w:color w:val="7855FA"/>
              </w:rPr>
              <w:t>•</w:t>
            </w:r>
          </w:p>
          <w:p>
            <w:pPr>
              <w:pStyle w:val="TableContents"/>
              <w:bidi w:val="0"/>
              <w:spacing w:before="0" w:after="60"/>
              <w:jc w:val="left"/>
              <w:rPr>
                <w:rFonts w:ascii="Montserrat;sans-serif" w:hAnsi="Montserrat;sans-serif"/>
                <w:color w:val="000000"/>
                <w:sz w:val="18"/>
              </w:rPr>
            </w:pPr>
            <w:r>
              <w:rPr>
                <w:rFonts w:ascii="Montserrat;sans-serif" w:hAnsi="Montserrat;sans-serif"/>
                <w:color w:val="000000"/>
                <w:sz w:val="18"/>
              </w:rPr>
              <w:t>Security and Privacy</w:t>
            </w:r>
          </w:p>
        </w:tc>
        <w:tc>
          <w:tcPr>
            <w:tcW w:w="5126" w:type="dxa"/>
            <w:tcBorders>
              <w:bottom w:val="single" w:sz="4" w:space="0" w:color="7855FA"/>
            </w:tcBorders>
            <w:tcMar>
              <w:top w:w="0" w:type="dxa"/>
              <w:left w:w="0" w:type="dxa"/>
              <w:right w:w="0" w:type="dxa"/>
            </w:tcMar>
            <w:vAlign w:val="center"/>
          </w:tcPr>
          <w:p>
            <w:pPr>
              <w:pStyle w:val="TableContents"/>
              <w:bidi w:val="0"/>
              <w:spacing w:before="120" w:after="283"/>
              <w:jc w:val="left"/>
              <w:rPr>
                <w:rFonts w:ascii="Montserrat;sans-serif" w:hAnsi="Montserrat;sans-serif"/>
                <w:b/>
                <w:color w:val="7855FA"/>
                <w:sz w:val="18"/>
              </w:rPr>
            </w:pPr>
            <w:r>
              <w:rPr>
                <w:rFonts w:ascii="Montserrat;sans-serif" w:hAnsi="Montserrat;sans-serif"/>
                <w:b/>
                <w:color w:val="7855FA"/>
                <w:sz w:val="18"/>
              </w:rPr>
              <w:t>Other public boards during the past five years:</w:t>
            </w:r>
          </w:p>
          <w:p>
            <w:pPr>
              <w:pStyle w:val="TableContents"/>
              <w:bidi w:val="0"/>
              <w:spacing w:before="0" w:after="0"/>
              <w:jc w:val="left"/>
              <w:rPr>
                <w:color w:val="7855FA"/>
              </w:rPr>
            </w:pPr>
            <w:r>
              <w:rPr>
                <w:color w:val="7855FA"/>
              </w:rPr>
              <w:t>•</w:t>
            </w:r>
          </w:p>
          <w:p>
            <w:pPr>
              <w:pStyle w:val="TableContents"/>
              <w:bidi w:val="0"/>
              <w:spacing w:before="0" w:after="0"/>
              <w:jc w:val="left"/>
              <w:rPr>
                <w:rFonts w:ascii="Montserrat;sans-serif" w:hAnsi="Montserrat;sans-serif"/>
                <w:color w:val="000000"/>
                <w:sz w:val="18"/>
              </w:rPr>
            </w:pPr>
            <w:r>
              <w:rPr>
                <w:rFonts w:ascii="Montserrat;sans-serif" w:hAnsi="Montserrat;sans-serif"/>
                <w:color w:val="000000"/>
                <w:sz w:val="18"/>
              </w:rPr>
              <w:t>Arista Networks, Inc. (since 2017)</w:t>
            </w:r>
          </w:p>
          <w:p>
            <w:pPr>
              <w:pStyle w:val="TableContents"/>
              <w:bidi w:val="0"/>
              <w:spacing w:before="0" w:after="0"/>
              <w:jc w:val="left"/>
              <w:rPr>
                <w:color w:val="7855FA"/>
              </w:rPr>
            </w:pPr>
            <w:r>
              <w:rPr>
                <w:color w:val="7855FA"/>
              </w:rPr>
              <w:t>•</w:t>
            </w:r>
          </w:p>
          <w:p>
            <w:pPr>
              <w:pStyle w:val="TableContents"/>
              <w:bidi w:val="0"/>
              <w:spacing w:before="0" w:after="0"/>
              <w:jc w:val="left"/>
              <w:rPr>
                <w:rFonts w:ascii="Montserrat;sans-serif" w:hAnsi="Montserrat;sans-serif"/>
                <w:color w:val="000000"/>
                <w:sz w:val="18"/>
              </w:rPr>
            </w:pPr>
            <w:r>
              <w:rPr>
                <w:rFonts w:ascii="Montserrat;sans-serif" w:hAnsi="Montserrat;sans-serif"/>
                <w:color w:val="000000"/>
                <w:sz w:val="18"/>
              </w:rPr>
              <w:t>Health Catalyst, Inc. (2020-2024)</w:t>
            </w:r>
          </w:p>
        </w:tc>
      </w:tr>
      <w:tr>
        <w:trPr/>
        <w:tc>
          <w:tcPr>
            <w:tcW w:w="10205" w:type="dxa"/>
            <w:gridSpan w:val="3"/>
            <w:tcBorders>
              <w:bottom w:val="single" w:sz="4" w:space="0" w:color="7855FA"/>
            </w:tcBorders>
            <w:tcMar>
              <w:top w:w="0" w:type="dxa"/>
              <w:left w:w="0" w:type="dxa"/>
              <w:right w:w="0" w:type="dxa"/>
            </w:tcMar>
            <w:vAlign w:val="center"/>
          </w:tcPr>
          <w:p>
            <w:pPr>
              <w:pStyle w:val="TableContents"/>
              <w:bidi w:val="0"/>
              <w:spacing w:before="120" w:after="283"/>
              <w:jc w:val="left"/>
              <w:rPr>
                <w:rFonts w:ascii="Montserrat;sans-serif" w:hAnsi="Montserrat;sans-serif"/>
                <w:b/>
                <w:color w:val="7855FA"/>
                <w:sz w:val="18"/>
              </w:rPr>
            </w:pPr>
            <w:r>
              <w:rPr>
                <w:rFonts w:ascii="Montserrat;sans-serif" w:hAnsi="Montserrat;sans-serif"/>
                <w:b/>
                <w:color w:val="7855FA"/>
                <w:sz w:val="18"/>
              </w:rPr>
              <w:t>Professional background</w:t>
            </w:r>
          </w:p>
          <w:p>
            <w:pPr>
              <w:pStyle w:val="TableContents"/>
              <w:bidi w:val="0"/>
              <w:spacing w:before="120" w:after="283"/>
              <w:jc w:val="both"/>
              <w:rPr>
                <w:rFonts w:ascii="Montserrat;sans-serif" w:hAnsi="Montserrat;sans-serif"/>
                <w:color w:val="000000"/>
                <w:sz w:val="18"/>
              </w:rPr>
            </w:pPr>
            <w:r>
              <w:rPr>
                <w:rFonts w:ascii="Montserrat;sans-serif" w:hAnsi="Montserrat;sans-serif"/>
                <w:color w:val="000000"/>
                <w:sz w:val="18"/>
              </w:rPr>
              <w:t xml:space="preserve">Mr. Templeton previously served as Chief Executive Officer of Citrix Systems, Inc., a remote workplace infrastructure software company spanning virtualization, mobility, networking, and collaboration technologies, from June 2001 to October 2015, as President from January 1998 to October 2015, and as Vice President, Marketing from June 1995 to January 1998. He was also Chief Executive Officer of DigitalOcean, Inc., a cloud computing company, from June 2018 to August 2019. These roles reflect Mr. Templeton’s progression from functional leadership in marketing to full executive responsibility for strategy, operations, and innovation at scale. His experience leading Citrix through its transformation into a global provider of virtualization, networking, and SaaS technologies demonstrates his ability to scale platforms, drive product strategy, and execute complex go-to-market initiatives. His tenure also reflects deep familiarity with enterprise customer needs, operational discipline, and the strategic oversight required to guide technology-driven business models in a public company setting. </w:t>
            </w:r>
          </w:p>
          <w:p>
            <w:pPr>
              <w:pStyle w:val="TableContents"/>
              <w:bidi w:val="0"/>
              <w:spacing w:before="120" w:after="283"/>
              <w:jc w:val="both"/>
              <w:rPr>
                <w:rFonts w:ascii="Montserrat;sans-serif" w:hAnsi="Montserrat;sans-serif"/>
                <w:color w:val="000000"/>
                <w:sz w:val="18"/>
              </w:rPr>
            </w:pPr>
            <w:r>
              <w:rPr>
                <w:rFonts w:ascii="Montserrat;sans-serif" w:hAnsi="Montserrat;sans-serif"/>
                <w:color w:val="000000"/>
                <w:sz w:val="18"/>
              </w:rPr>
              <w:t xml:space="preserve">Mr. Templeton has served on the board of directors of Arista Networks, Inc., a cloud networking solutions company, since June 2017, and on the board of management of Proofpoint, Inc., a human and agent-centric security platform company, since April 2025. He has also served as a member of the board of directors of Citrix Systems, Inc. from May 1998 to October 2015, Equifax, Inc., a consumer credit reporting agency, from February 2008 to November 2018, Keysight Technologies, Inc., an electronics test and measurement equipment company, from December 2015 to July 2018, and Health Catalyst, Inc., a provider of healthcare data analytics software and services from July 2020 to March 2024. Mr. Templeton’s board service across multiple public companies demonstrates his familiarity with governance practices and strategic oversight in complex, regulated environments. He also currently serves on the boards of several privately-held companies in the virtual hardware, storage infrastructure and applied AI software markets. </w:t>
            </w:r>
          </w:p>
          <w:p>
            <w:pPr>
              <w:pStyle w:val="TableContents"/>
              <w:bidi w:val="0"/>
              <w:spacing w:before="120" w:after="283"/>
              <w:jc w:val="left"/>
              <w:rPr>
                <w:rFonts w:ascii="Montserrat;sans-serif" w:hAnsi="Montserrat;sans-serif"/>
                <w:b/>
                <w:color w:val="7855FA"/>
                <w:sz w:val="18"/>
              </w:rPr>
            </w:pPr>
            <w:r>
              <w:rPr>
                <w:rFonts w:ascii="Montserrat;sans-serif" w:hAnsi="Montserrat;sans-serif"/>
                <w:b/>
                <w:color w:val="7855FA"/>
                <w:sz w:val="18"/>
              </w:rPr>
              <w:t>Education</w:t>
            </w:r>
          </w:p>
          <w:p>
            <w:pPr>
              <w:pStyle w:val="TableContents"/>
              <w:bidi w:val="0"/>
              <w:spacing w:before="120" w:after="283"/>
              <w:jc w:val="both"/>
              <w:rPr>
                <w:rFonts w:ascii="Montserrat;sans-serif" w:hAnsi="Montserrat;sans-serif"/>
                <w:color w:val="000000"/>
                <w:sz w:val="18"/>
              </w:rPr>
            </w:pPr>
            <w:r>
              <w:rPr>
                <w:rFonts w:ascii="Montserrat;sans-serif" w:hAnsi="Montserrat;sans-serif"/>
                <w:color w:val="000000"/>
                <w:sz w:val="18"/>
              </w:rPr>
              <w:t>B.A. in Industrial and Product Design, North Carolina State University</w:t>
            </w:r>
          </w:p>
          <w:p>
            <w:pPr>
              <w:pStyle w:val="TableContents"/>
              <w:bidi w:val="0"/>
              <w:jc w:val="both"/>
              <w:rPr>
                <w:rFonts w:ascii="Montserrat;sans-serif" w:hAnsi="Montserrat;sans-serif"/>
                <w:color w:val="000000"/>
                <w:sz w:val="18"/>
              </w:rPr>
            </w:pPr>
            <w:r>
              <w:rPr>
                <w:rFonts w:ascii="Montserrat;sans-serif" w:hAnsi="Montserrat;sans-serif"/>
                <w:color w:val="000000"/>
                <w:sz w:val="18"/>
              </w:rPr>
              <w:t>M.B.A., Darden School of Business at the University of Virginia</w:t>
            </w:r>
          </w:p>
          <w:p>
            <w:pPr>
              <w:pStyle w:val="TableContents"/>
              <w:bidi w:val="0"/>
              <w:jc w:val="both"/>
              <w:rPr>
                <w:rFonts w:ascii="Montserrat;sans-serif" w:hAnsi="Montserrat;sans-serif"/>
                <w:color w:val="000000"/>
                <w:sz w:val="18"/>
              </w:rPr>
            </w:pPr>
            <w:r>
              <w:rPr>
                <w:rFonts w:ascii="Montserrat;sans-serif" w:hAnsi="Montserrat;sans-serif"/>
                <w:color w:val="000000"/>
                <w:sz w:val="18"/>
              </w:rPr>
              <w:t>Honorary doctorate degree in Business Administration, University of South Carolina Aiken</w:t>
            </w:r>
          </w:p>
          <w:p>
            <w:pPr>
              <w:pStyle w:val="TableContents"/>
              <w:bidi w:val="0"/>
              <w:spacing w:before="0" w:after="60"/>
              <w:jc w:val="both"/>
              <w:rPr>
                <w:rFonts w:ascii="Montserrat;sans-serif" w:hAnsi="Montserrat;sans-serif"/>
                <w:color w:val="000000"/>
                <w:sz w:val="18"/>
              </w:rPr>
            </w:pPr>
            <w:r>
              <w:rPr>
                <w:rFonts w:ascii="Montserrat;sans-serif" w:hAnsi="Montserrat;sans-serif"/>
                <w:color w:val="000000"/>
                <w:sz w:val="18"/>
              </w:rPr>
              <w:t>Honorary doctorate degree in Business Administration and Management, General, Nova Southeastern University</w:t>
            </w:r>
          </w:p>
          <w:p>
            <w:pPr>
              <w:pStyle w:val="TableContents"/>
              <w:bidi w:val="0"/>
              <w:spacing w:before="60" w:after="283"/>
              <w:jc w:val="left"/>
              <w:rPr>
                <w:rFonts w:ascii="Montserrat;sans-serif" w:hAnsi="Montserrat;sans-serif"/>
                <w:b/>
                <w:color w:val="7855FA"/>
                <w:sz w:val="18"/>
              </w:rPr>
            </w:pPr>
            <w:r>
              <w:rPr>
                <w:rFonts w:ascii="Montserrat;sans-serif" w:hAnsi="Montserrat;sans-serif"/>
                <w:b/>
                <w:color w:val="7855FA"/>
                <w:sz w:val="18"/>
              </w:rPr>
              <w:t>Key skills and experience</w:t>
            </w:r>
          </w:p>
          <w:p>
            <w:pPr>
              <w:pStyle w:val="TableContents"/>
              <w:bidi w:val="0"/>
              <w:spacing w:before="120" w:after="60"/>
              <w:jc w:val="both"/>
              <w:rPr>
                <w:rFonts w:ascii="Montserrat;sans-serif" w:hAnsi="Montserrat;sans-serif"/>
                <w:color w:val="000000"/>
                <w:sz w:val="18"/>
              </w:rPr>
            </w:pPr>
            <w:r>
              <w:rPr>
                <w:rFonts w:ascii="Montserrat;sans-serif" w:hAnsi="Montserrat;sans-serif"/>
                <w:color w:val="000000"/>
                <w:sz w:val="18"/>
              </w:rPr>
              <w:t xml:space="preserve">Our Board believes Mr. Templeton is qualified to serve as a director based on his extensive experience in virtualization, cloud infrastructure, and security software. Mr. Templeton’s experience with applied AI software companies and his technical background in IT infrastructure and containerization also inform oversight of AI/ML and emerging technologies. His prior leadership in platform scaling, product strategy, and global marketing and sales support the Board’s understanding of and oversight over innovation, technology-driven business models, go-to-market strategy, customer engagement and customer-centric growth, and execution excellence. His board service and qualification as an audit committee financial expert further enhances the Board’s financial strategy, governance, and strategic capabilities. </w:t>
            </w:r>
          </w:p>
        </w:tc>
      </w:tr>
    </w:tbl>
    <w:p>
      <w:pPr>
        <w:pStyle w:val="TextBody"/>
        <w:bidi w:val="0"/>
        <w:jc w:val="left"/>
        <w:rPr/>
      </w:pPr>
      <w:r>
        <w:rPr/>
        <w:t> </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301"/>
        <w:gridCol w:w="2671"/>
      </w:tblGrid>
      <w:tr>
        <w:trPr/>
        <w:tc>
          <w:tcPr>
            <w:tcW w:w="30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28</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137"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26" descr=""/>
                          <pic:cNvPicPr>
                            <a:picLocks noChangeAspect="1" noChangeArrowheads="1"/>
                          </pic:cNvPicPr>
                        </pic:nvPicPr>
                        <pic:blipFill>
                          <a:blip r:embed="rId130"/>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rFonts w:ascii="Montserrat;sans-serif" w:hAnsi="Montserrat;sans-serif"/>
          <w:color w:val="000000"/>
          <w:sz w:val="13"/>
        </w:rPr>
      </w:pPr>
      <w:r>
        <w:rPr>
          <w:rFonts w:ascii="Montserrat;sans-serif" w:hAnsi="Montserrat;sans-serif"/>
          <w:color w:val="000000"/>
          <w:sz w:val="13"/>
        </w:rPr>
        <w:t>Corporate Governance</w:t>
      </w:r>
    </w:p>
    <w:p>
      <w:pPr>
        <w:pStyle w:val="TextBody"/>
        <w:bidi w:val="0"/>
        <w:spacing w:before="60" w:after="283"/>
        <w:jc w:val="right"/>
        <w:rPr>
          <w:rFonts w:ascii="Montserrat;sans-serif" w:hAnsi="Montserrat;sans-serif"/>
          <w:color w:val="000000"/>
          <w:sz w:val="12"/>
        </w:rPr>
      </w:pPr>
      <w:r>
        <w:rPr>
          <w:rFonts w:ascii="Montserrat;sans-serif" w:hAnsi="Montserrat;sans-serif"/>
          <w:color w:val="000000"/>
          <w:sz w:val="12"/>
        </w:rPr>
        <w:t>Proposal 1: Election of Directors</w:t>
      </w:r>
    </w:p>
    <w:p>
      <w:pPr>
        <w:pStyle w:val="TextBody"/>
        <w:bidi w:val="0"/>
        <w:jc w:val="right"/>
        <w:rPr/>
      </w:pPr>
      <w:r>
        <w:rPr/>
        <w:t> </w:t>
      </w:r>
    </w:p>
    <w:p>
      <w:pPr>
        <w:pStyle w:val="TextBody"/>
        <w:bidi w:val="0"/>
        <w:jc w:val="right"/>
        <w:rPr/>
      </w:pPr>
      <w:r>
        <w:rPr/>
        <w:t> </w:t>
      </w:r>
    </w:p>
    <w:p>
      <w:pPr>
        <w:pStyle w:val="TextBody"/>
        <w:bidi w:val="0"/>
        <w:jc w:val="left"/>
        <w:rPr>
          <w:rFonts w:ascii="Montserrat;sans-serif" w:hAnsi="Montserrat;sans-serif"/>
          <w:b/>
          <w:color w:val="000000"/>
          <w:sz w:val="22"/>
        </w:rPr>
      </w:pPr>
      <w:r>
        <w:rPr>
          <w:rFonts w:ascii="Montserrat;sans-serif" w:hAnsi="Montserrat;sans-serif"/>
          <w:b/>
          <w:color w:val="000000"/>
          <w:sz w:val="22"/>
        </w:rPr>
        <w:t>Non-Continuing Director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02"/>
        <w:gridCol w:w="3838"/>
        <w:gridCol w:w="4565"/>
      </w:tblGrid>
      <w:tr>
        <w:trPr/>
        <w:tc>
          <w:tcPr>
            <w:tcW w:w="1802" w:type="dxa"/>
            <w:tcBorders/>
            <w:vAlign w:val="center"/>
          </w:tcPr>
          <w:p>
            <w:pPr>
              <w:pStyle w:val="TableContents"/>
              <w:bidi w:val="0"/>
              <w:spacing w:before="0" w:after="283"/>
              <w:jc w:val="left"/>
              <w:rPr>
                <w:sz w:val="4"/>
                <w:szCs w:val="4"/>
              </w:rPr>
            </w:pPr>
            <w:r>
              <w:rPr>
                <w:sz w:val="4"/>
                <w:szCs w:val="4"/>
              </w:rPr>
            </w:r>
          </w:p>
        </w:tc>
        <w:tc>
          <w:tcPr>
            <w:tcW w:w="3838" w:type="dxa"/>
            <w:tcBorders/>
            <w:vAlign w:val="center"/>
          </w:tcPr>
          <w:p>
            <w:pPr>
              <w:pStyle w:val="TableContents"/>
              <w:bidi w:val="0"/>
              <w:spacing w:before="0" w:after="283"/>
              <w:jc w:val="left"/>
              <w:rPr>
                <w:sz w:val="4"/>
                <w:szCs w:val="4"/>
              </w:rPr>
            </w:pPr>
            <w:r>
              <w:rPr>
                <w:sz w:val="4"/>
                <w:szCs w:val="4"/>
              </w:rPr>
            </w:r>
          </w:p>
        </w:tc>
        <w:tc>
          <w:tcPr>
            <w:tcW w:w="4565" w:type="dxa"/>
            <w:tcBorders/>
            <w:vAlign w:val="center"/>
          </w:tcPr>
          <w:p>
            <w:pPr>
              <w:pStyle w:val="TableContents"/>
              <w:bidi w:val="0"/>
              <w:spacing w:before="0" w:after="283"/>
              <w:jc w:val="left"/>
              <w:rPr>
                <w:sz w:val="4"/>
                <w:szCs w:val="4"/>
              </w:rPr>
            </w:pPr>
            <w:r>
              <w:rPr>
                <w:sz w:val="4"/>
                <w:szCs w:val="4"/>
              </w:rPr>
            </w:r>
          </w:p>
        </w:tc>
      </w:tr>
      <w:tr>
        <w:trPr/>
        <w:tc>
          <w:tcPr>
            <w:tcW w:w="1802" w:type="dxa"/>
            <w:vMerge w:val="restart"/>
            <w:tcBorders>
              <w:bottom w:val="single" w:sz="4" w:space="0" w:color="7855FA"/>
            </w:tcBorders>
            <w:tcMar>
              <w:top w:w="0" w:type="dxa"/>
              <w:left w:w="0" w:type="dxa"/>
              <w:right w:w="0" w:type="dxa"/>
            </w:tcMar>
            <w:vAlign w:val="center"/>
          </w:tcPr>
          <w:p>
            <w:pPr>
              <w:pStyle w:val="TableContents"/>
              <w:bidi w:val="0"/>
              <w:spacing w:before="120" w:after="283"/>
              <w:jc w:val="left"/>
              <w:rPr/>
            </w:pPr>
            <w:r>
              <w:rPr/>
              <w:drawing>
                <wp:inline distT="0" distB="0" distL="0" distR="0">
                  <wp:extent cx="647700" cy="647700"/>
                  <wp:effectExtent l="0" t="0" r="0" b="0"/>
                  <wp:docPr id="138"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27" descr=""/>
                          <pic:cNvPicPr>
                            <a:picLocks noChangeAspect="1" noChangeArrowheads="1"/>
                          </pic:cNvPicPr>
                        </pic:nvPicPr>
                        <pic:blipFill>
                          <a:blip r:embed="rId131"/>
                          <a:stretch>
                            <a:fillRect/>
                          </a:stretch>
                        </pic:blipFill>
                        <pic:spPr bwMode="auto">
                          <a:xfrm>
                            <a:off x="0" y="0"/>
                            <a:ext cx="647700" cy="647700"/>
                          </a:xfrm>
                          <a:prstGeom prst="rect">
                            <a:avLst/>
                          </a:prstGeom>
                        </pic:spPr>
                      </pic:pic>
                    </a:graphicData>
                  </a:graphic>
                </wp:inline>
              </w:drawing>
            </w:r>
          </w:p>
        </w:tc>
        <w:tc>
          <w:tcPr>
            <w:tcW w:w="3838" w:type="dxa"/>
            <w:tcBorders>
              <w:bottom w:val="single" w:sz="4" w:space="0" w:color="7855FA"/>
            </w:tcBorders>
            <w:tcMar>
              <w:top w:w="0" w:type="dxa"/>
              <w:left w:w="0" w:type="dxa"/>
              <w:right w:w="0" w:type="dxa"/>
            </w:tcMar>
            <w:vAlign w:val="center"/>
          </w:tcPr>
          <w:p>
            <w:pPr>
              <w:pStyle w:val="TableContents"/>
              <w:bidi w:val="0"/>
              <w:spacing w:before="0" w:after="60"/>
              <w:jc w:val="left"/>
              <w:rPr>
                <w:rFonts w:ascii="Montserrat;sans-serif" w:hAnsi="Montserrat;sans-serif"/>
                <w:b/>
                <w:color w:val="7855FA"/>
                <w:sz w:val="20"/>
              </w:rPr>
            </w:pPr>
            <w:r>
              <w:rPr>
                <w:rFonts w:ascii="Montserrat;sans-serif" w:hAnsi="Montserrat;sans-serif"/>
                <w:b/>
                <w:color w:val="7855FA"/>
                <w:sz w:val="20"/>
              </w:rPr>
              <w:t>Craig Conway</w:t>
            </w:r>
          </w:p>
        </w:tc>
        <w:tc>
          <w:tcPr>
            <w:tcW w:w="4565" w:type="dxa"/>
            <w:tcBorders>
              <w:bottom w:val="single" w:sz="4" w:space="0" w:color="7855FA"/>
            </w:tcBorders>
            <w:tcMar>
              <w:top w:w="0" w:type="dxa"/>
              <w:left w:w="0" w:type="dxa"/>
              <w:right w:w="0" w:type="dxa"/>
            </w:tcMar>
            <w:vAlign w:val="center"/>
          </w:tcPr>
          <w:p>
            <w:pPr>
              <w:pStyle w:val="TableContents"/>
              <w:bidi w:val="0"/>
              <w:spacing w:before="0" w:after="60"/>
              <w:jc w:val="left"/>
              <w:rPr/>
            </w:pPr>
            <w:r>
              <w:rPr/>
              <w:t> </w:t>
            </w:r>
          </w:p>
        </w:tc>
      </w:tr>
      <w:tr>
        <w:trPr/>
        <w:tc>
          <w:tcPr>
            <w:tcW w:w="1802" w:type="dxa"/>
            <w:vMerge w:val="continue"/>
            <w:tcBorders>
              <w:bottom w:val="single" w:sz="4" w:space="0" w:color="7855FA"/>
            </w:tcBorders>
            <w:tcMar>
              <w:top w:w="0" w:type="dxa"/>
              <w:left w:w="0" w:type="dxa"/>
              <w:right w:w="0" w:type="dxa"/>
            </w:tcMar>
            <w:vAlign w:val="center"/>
          </w:tcPr>
          <w:p>
            <w:pPr>
              <w:pStyle w:val="Normal"/>
              <w:bidi w:val="0"/>
              <w:jc w:val="left"/>
              <w:rPr/>
            </w:pPr>
            <w:r>
              <w:rPr/>
            </w:r>
          </w:p>
        </w:tc>
        <w:tc>
          <w:tcPr>
            <w:tcW w:w="3838" w:type="dxa"/>
            <w:tcBorders>
              <w:bottom w:val="single" w:sz="4" w:space="0" w:color="7855FA"/>
            </w:tcBorders>
            <w:tcMar>
              <w:top w:w="0" w:type="dxa"/>
              <w:left w:w="0" w:type="dxa"/>
              <w:right w:w="0" w:type="dxa"/>
            </w:tcMar>
            <w:vAlign w:val="center"/>
          </w:tcPr>
          <w:p>
            <w:pPr>
              <w:pStyle w:val="TableContents"/>
              <w:bidi w:val="0"/>
              <w:spacing w:before="120" w:after="283"/>
              <w:jc w:val="left"/>
              <w:rPr>
                <w:rFonts w:ascii="Montserrat Medium;sans-serif" w:hAnsi="Montserrat Medium;sans-serif"/>
                <w:sz w:val="18"/>
              </w:rPr>
            </w:pPr>
            <w:r>
              <w:rPr>
                <w:rFonts w:ascii="Montserrat;Montserrat Medium;sans-serif" w:hAnsi="Montserrat;Montserrat Medium;sans-serif"/>
                <w:b/>
                <w:color w:val="7855FA"/>
                <w:sz w:val="18"/>
              </w:rPr>
              <w:t>Age:</w:t>
            </w:r>
            <w:r>
              <w:rPr>
                <w:rFonts w:ascii="Montserrat Medium;sans-serif" w:hAnsi="Montserrat Medium;sans-serif"/>
                <w:color w:val="6C60A5"/>
                <w:sz w:val="18"/>
              </w:rPr>
              <w:t xml:space="preserve"> </w:t>
            </w:r>
            <w:r>
              <w:rPr>
                <w:rFonts w:ascii="Montserrat;Montserrat Medium;sans-serif" w:hAnsi="Montserrat;Montserrat Medium;sans-serif"/>
                <w:b/>
                <w:color w:val="000000"/>
                <w:sz w:val="18"/>
              </w:rPr>
              <w:t>72</w:t>
            </w:r>
          </w:p>
          <w:p>
            <w:pPr>
              <w:pStyle w:val="TableContents"/>
              <w:bidi w:val="0"/>
              <w:spacing w:before="60" w:after="283"/>
              <w:jc w:val="left"/>
              <w:rPr>
                <w:rFonts w:ascii="Montserrat Medium;sans-serif" w:hAnsi="Montserrat Medium;sans-serif"/>
                <w:sz w:val="18"/>
              </w:rPr>
            </w:pPr>
            <w:r>
              <w:rPr>
                <w:rFonts w:ascii="Montserrat;Montserrat Medium;sans-serif" w:hAnsi="Montserrat;Montserrat Medium;sans-serif"/>
                <w:b/>
                <w:color w:val="7855FA"/>
                <w:sz w:val="18"/>
              </w:rPr>
              <w:t>Director since:</w:t>
            </w:r>
            <w:r>
              <w:rPr>
                <w:rFonts w:ascii="Montserrat Medium;sans-serif" w:hAnsi="Montserrat Medium;sans-serif"/>
                <w:color w:val="6C60A5"/>
                <w:sz w:val="18"/>
              </w:rPr>
              <w:t xml:space="preserve"> </w:t>
            </w:r>
            <w:r>
              <w:rPr>
                <w:rFonts w:ascii="Montserrat;Montserrat Medium;sans-serif" w:hAnsi="Montserrat;Montserrat Medium;sans-serif"/>
                <w:b/>
                <w:color w:val="000000"/>
                <w:sz w:val="18"/>
              </w:rPr>
              <w:t>2017</w:t>
            </w:r>
          </w:p>
          <w:p>
            <w:pPr>
              <w:pStyle w:val="TableContents"/>
              <w:bidi w:val="0"/>
              <w:spacing w:before="120" w:after="283"/>
              <w:jc w:val="left"/>
              <w:rPr>
                <w:rFonts w:ascii="Montserrat;sans-serif" w:hAnsi="Montserrat;sans-serif"/>
                <w:b/>
                <w:color w:val="000000"/>
                <w:sz w:val="18"/>
              </w:rPr>
            </w:pPr>
            <w:r>
              <w:rPr>
                <w:rFonts w:ascii="Montserrat;sans-serif" w:hAnsi="Montserrat;sans-serif"/>
                <w:b/>
                <w:color w:val="000000"/>
                <w:sz w:val="18"/>
              </w:rPr>
              <w:t>Independent</w:t>
            </w:r>
          </w:p>
          <w:p>
            <w:pPr>
              <w:pStyle w:val="TableContents"/>
              <w:bidi w:val="0"/>
              <w:spacing w:before="120" w:after="283"/>
              <w:jc w:val="left"/>
              <w:rPr>
                <w:rFonts w:ascii="Montserrat;sans-serif" w:hAnsi="Montserrat;sans-serif"/>
                <w:b/>
                <w:color w:val="7855FA"/>
                <w:sz w:val="18"/>
              </w:rPr>
            </w:pPr>
            <w:r>
              <w:rPr>
                <w:rFonts w:ascii="Montserrat;sans-serif" w:hAnsi="Montserrat;sans-serif"/>
                <w:b/>
                <w:color w:val="7855FA"/>
                <w:sz w:val="18"/>
              </w:rPr>
              <w:t>Board Committees:</w:t>
            </w:r>
          </w:p>
          <w:p>
            <w:pPr>
              <w:pStyle w:val="TableContents"/>
              <w:bidi w:val="0"/>
              <w:spacing w:before="0" w:after="0"/>
              <w:ind w:left="489" w:right="0" w:hanging="0"/>
              <w:jc w:val="left"/>
              <w:rPr>
                <w:color w:val="7855FA"/>
              </w:rPr>
            </w:pPr>
            <w:r>
              <w:rPr>
                <w:color w:val="7855FA"/>
              </w:rPr>
              <w:t>•</w:t>
            </w:r>
          </w:p>
          <w:p>
            <w:pPr>
              <w:pStyle w:val="TableContents"/>
              <w:bidi w:val="0"/>
              <w:spacing w:before="0" w:after="0"/>
              <w:jc w:val="left"/>
              <w:rPr>
                <w:rFonts w:ascii="Montserrat;sans-serif" w:hAnsi="Montserrat;sans-serif"/>
                <w:color w:val="000000"/>
                <w:sz w:val="18"/>
              </w:rPr>
            </w:pPr>
            <w:r>
              <w:rPr>
                <w:rFonts w:ascii="Montserrat;sans-serif" w:hAnsi="Montserrat;sans-serif"/>
                <w:color w:val="000000"/>
                <w:sz w:val="18"/>
              </w:rPr>
              <w:t>Compensation</w:t>
            </w:r>
          </w:p>
          <w:p>
            <w:pPr>
              <w:pStyle w:val="TableContents"/>
              <w:bidi w:val="0"/>
              <w:spacing w:before="0" w:after="60"/>
              <w:ind w:left="489" w:right="0" w:hanging="0"/>
              <w:jc w:val="left"/>
              <w:rPr>
                <w:color w:val="7855FA"/>
              </w:rPr>
            </w:pPr>
            <w:r>
              <w:rPr>
                <w:color w:val="7855FA"/>
              </w:rPr>
              <w:t>•</w:t>
            </w:r>
          </w:p>
          <w:p>
            <w:pPr>
              <w:pStyle w:val="TableContents"/>
              <w:bidi w:val="0"/>
              <w:spacing w:before="0" w:after="60"/>
              <w:jc w:val="left"/>
              <w:rPr>
                <w:rFonts w:ascii="Montserrat;sans-serif" w:hAnsi="Montserrat;sans-serif"/>
                <w:color w:val="000000"/>
                <w:sz w:val="18"/>
              </w:rPr>
            </w:pPr>
            <w:r>
              <w:rPr>
                <w:rFonts w:ascii="Montserrat;sans-serif" w:hAnsi="Montserrat;sans-serif"/>
                <w:color w:val="000000"/>
                <w:sz w:val="18"/>
              </w:rPr>
              <w:t>Nominating and Corporate Governance</w:t>
            </w:r>
          </w:p>
        </w:tc>
        <w:tc>
          <w:tcPr>
            <w:tcW w:w="4565" w:type="dxa"/>
            <w:tcBorders>
              <w:bottom w:val="single" w:sz="4" w:space="0" w:color="7855FA"/>
            </w:tcBorders>
            <w:tcMar>
              <w:top w:w="0" w:type="dxa"/>
              <w:left w:w="0" w:type="dxa"/>
              <w:right w:w="0" w:type="dxa"/>
            </w:tcMar>
            <w:vAlign w:val="center"/>
          </w:tcPr>
          <w:p>
            <w:pPr>
              <w:pStyle w:val="TableContents"/>
              <w:bidi w:val="0"/>
              <w:spacing w:before="120" w:after="283"/>
              <w:jc w:val="left"/>
              <w:rPr>
                <w:rFonts w:ascii="Montserrat;sans-serif" w:hAnsi="Montserrat;sans-serif"/>
                <w:b/>
                <w:color w:val="7855FA"/>
                <w:sz w:val="18"/>
              </w:rPr>
            </w:pPr>
            <w:r>
              <w:rPr>
                <w:rFonts w:ascii="Montserrat;sans-serif" w:hAnsi="Montserrat;sans-serif"/>
                <w:b/>
                <w:color w:val="7855FA"/>
                <w:sz w:val="18"/>
              </w:rPr>
              <w:t>Other public boards during the past five years:</w:t>
            </w:r>
          </w:p>
          <w:p>
            <w:pPr>
              <w:pStyle w:val="TableContents"/>
              <w:bidi w:val="0"/>
              <w:spacing w:before="0" w:after="0"/>
              <w:ind w:left="489" w:right="0" w:hanging="0"/>
              <w:jc w:val="left"/>
              <w:rPr>
                <w:color w:val="7855FA"/>
              </w:rPr>
            </w:pPr>
            <w:r>
              <w:rPr>
                <w:color w:val="7855FA"/>
              </w:rPr>
              <w:t>•</w:t>
            </w:r>
          </w:p>
          <w:p>
            <w:pPr>
              <w:pStyle w:val="TableContents"/>
              <w:bidi w:val="0"/>
              <w:spacing w:before="0" w:after="0"/>
              <w:jc w:val="left"/>
              <w:rPr>
                <w:rFonts w:ascii="Montserrat;sans-serif" w:hAnsi="Montserrat;sans-serif"/>
                <w:color w:val="000000"/>
                <w:sz w:val="18"/>
              </w:rPr>
            </w:pPr>
            <w:r>
              <w:rPr>
                <w:rFonts w:ascii="Montserrat;sans-serif" w:hAnsi="Montserrat;sans-serif"/>
                <w:color w:val="000000"/>
                <w:sz w:val="18"/>
              </w:rPr>
              <w:t>Salesforce, Inc. (since 2005)</w:t>
            </w:r>
          </w:p>
          <w:p>
            <w:pPr>
              <w:pStyle w:val="TableContents"/>
              <w:bidi w:val="0"/>
              <w:spacing w:before="0" w:after="0"/>
              <w:ind w:left="489" w:right="0" w:hanging="0"/>
              <w:jc w:val="left"/>
              <w:rPr>
                <w:color w:val="7855FA"/>
              </w:rPr>
            </w:pPr>
            <w:r>
              <w:rPr>
                <w:color w:val="7855FA"/>
              </w:rPr>
              <w:t>•</w:t>
            </w:r>
          </w:p>
          <w:p>
            <w:pPr>
              <w:pStyle w:val="TableContents"/>
              <w:bidi w:val="0"/>
              <w:spacing w:before="0" w:after="0"/>
              <w:jc w:val="left"/>
              <w:rPr>
                <w:rFonts w:ascii="Montserrat;sans-serif" w:hAnsi="Montserrat;sans-serif"/>
                <w:color w:val="000000"/>
                <w:sz w:val="18"/>
              </w:rPr>
            </w:pPr>
            <w:r>
              <w:rPr>
                <w:rFonts w:ascii="Montserrat;sans-serif" w:hAnsi="Montserrat;sans-serif"/>
                <w:color w:val="000000"/>
                <w:sz w:val="18"/>
              </w:rPr>
              <w:t>Paylocity Holding Corporation (since 2024)</w:t>
            </w:r>
          </w:p>
        </w:tc>
      </w:tr>
      <w:tr>
        <w:trPr/>
        <w:tc>
          <w:tcPr>
            <w:tcW w:w="10205" w:type="dxa"/>
            <w:gridSpan w:val="3"/>
            <w:tcBorders>
              <w:bottom w:val="single" w:sz="4" w:space="0" w:color="7855FA"/>
            </w:tcBorders>
            <w:tcMar>
              <w:top w:w="0" w:type="dxa"/>
              <w:left w:w="0" w:type="dxa"/>
              <w:right w:w="0" w:type="dxa"/>
            </w:tcMar>
            <w:vAlign w:val="center"/>
          </w:tcPr>
          <w:p>
            <w:pPr>
              <w:pStyle w:val="TableContents"/>
              <w:bidi w:val="0"/>
              <w:spacing w:before="120" w:after="283"/>
              <w:jc w:val="left"/>
              <w:rPr>
                <w:rFonts w:ascii="Montserrat;sans-serif" w:hAnsi="Montserrat;sans-serif"/>
                <w:b/>
                <w:color w:val="7855FA"/>
                <w:sz w:val="18"/>
              </w:rPr>
            </w:pPr>
            <w:r>
              <w:rPr>
                <w:rFonts w:ascii="Montserrat;sans-serif" w:hAnsi="Montserrat;sans-serif"/>
                <w:b/>
                <w:color w:val="7855FA"/>
                <w:sz w:val="18"/>
              </w:rPr>
              <w:t>Professional background</w:t>
            </w:r>
          </w:p>
          <w:p>
            <w:pPr>
              <w:pStyle w:val="TableContents"/>
              <w:bidi w:val="0"/>
              <w:spacing w:before="120" w:after="283"/>
              <w:jc w:val="both"/>
              <w:rPr>
                <w:rFonts w:ascii="Montserrat;sans-serif" w:hAnsi="Montserrat;sans-serif"/>
                <w:color w:val="000000"/>
                <w:sz w:val="18"/>
              </w:rPr>
            </w:pPr>
            <w:r>
              <w:rPr>
                <w:rFonts w:ascii="Montserrat;sans-serif" w:hAnsi="Montserrat;sans-serif"/>
                <w:color w:val="000000"/>
                <w:sz w:val="18"/>
              </w:rPr>
              <w:t xml:space="preserve">Mr. Conway is a seasoned technology industry leader and experienced public company director. His career includes more than four decades in enterprise software, cloud platforms, database, and networking. Mr. Conway has served as President and Chief Executive Officer of PeopleSoft, Inc., an enterprise application software company, from 1999 to 2004, where he led the company through product expansion, global scaling, and strategic transformation. Prior CEO roles include One Touch Systems, a high-bandwidth network company, from 1996 to 1999, and TGV Software, a network protocol and applications company, from 1993 to 1996. Prior to his CEO roles Mr. Conway held numerous executive management roles including Executive Vice President of Oracle Corporation, a global software and services company, from 1985 to 1992. </w:t>
            </w:r>
          </w:p>
          <w:p>
            <w:pPr>
              <w:pStyle w:val="TableContents"/>
              <w:bidi w:val="0"/>
              <w:spacing w:before="120" w:after="283"/>
              <w:jc w:val="both"/>
              <w:rPr>
                <w:rFonts w:ascii="Montserrat;sans-serif" w:hAnsi="Montserrat;sans-serif"/>
                <w:color w:val="000000"/>
                <w:sz w:val="18"/>
              </w:rPr>
            </w:pPr>
            <w:r>
              <w:rPr>
                <w:rFonts w:ascii="Montserrat;sans-serif" w:hAnsi="Montserrat;sans-serif"/>
                <w:color w:val="000000"/>
                <w:sz w:val="18"/>
              </w:rPr>
              <w:t>Mr. Conway has served on the board of directors of Salesforce, Inc., a cloud-based customer relationship management company, since October 2005, and on the board of Paylocity Holding Corporation, a cloud-based HCM and payroll software solutions company, since March 2024. His prior board service includes Advanced Micro Devices, Inc., a semiconductor company, Guidewire Software, Inc., a provider of software products to insurance companies, and multiple other public and private technology companies. Across these board of director roles, Mr. Conway has served on audit, compensation, security, and business transformation committees. His extensive board experience has spanned periods of product innovation, market expansion, and organizational change.</w:t>
            </w:r>
          </w:p>
          <w:p>
            <w:pPr>
              <w:pStyle w:val="TableContents"/>
              <w:bidi w:val="0"/>
              <w:spacing w:before="120" w:after="283"/>
              <w:jc w:val="left"/>
              <w:rPr>
                <w:rFonts w:ascii="Montserrat;sans-serif" w:hAnsi="Montserrat;sans-serif"/>
                <w:b/>
                <w:color w:val="7855FA"/>
                <w:sz w:val="18"/>
              </w:rPr>
            </w:pPr>
            <w:r>
              <w:rPr>
                <w:rFonts w:ascii="Montserrat;sans-serif" w:hAnsi="Montserrat;sans-serif"/>
                <w:b/>
                <w:color w:val="7855FA"/>
                <w:sz w:val="18"/>
              </w:rPr>
              <w:t>Education</w:t>
            </w:r>
          </w:p>
          <w:p>
            <w:pPr>
              <w:pStyle w:val="TableContents"/>
              <w:bidi w:val="0"/>
              <w:spacing w:before="120" w:after="283"/>
              <w:jc w:val="both"/>
              <w:rPr>
                <w:rFonts w:ascii="Montserrat;sans-serif" w:hAnsi="Montserrat;sans-serif"/>
                <w:color w:val="000000"/>
                <w:sz w:val="18"/>
              </w:rPr>
            </w:pPr>
            <w:r>
              <w:rPr>
                <w:rFonts w:ascii="Montserrat;sans-serif" w:hAnsi="Montserrat;sans-serif"/>
                <w:color w:val="000000"/>
                <w:sz w:val="18"/>
              </w:rPr>
              <w:t>B.S. in Computer Science and Mathematics, State University of New York at Brockport</w:t>
            </w:r>
          </w:p>
        </w:tc>
      </w:tr>
    </w:tbl>
    <w:p>
      <w:pPr>
        <w:pStyle w:val="TextBody"/>
        <w:bidi w:val="0"/>
        <w:jc w:val="left"/>
        <w:rPr/>
      </w:pPr>
      <w:r>
        <w:rPr/>
        <w:t> </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2641"/>
        <w:gridCol w:w="331"/>
      </w:tblGrid>
      <w:tr>
        <w:trPr/>
        <w:tc>
          <w:tcPr>
            <w:tcW w:w="26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139"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28" descr=""/>
                          <pic:cNvPicPr>
                            <a:picLocks noChangeAspect="1" noChangeArrowheads="1"/>
                          </pic:cNvPicPr>
                        </pic:nvPicPr>
                        <pic:blipFill>
                          <a:blip r:embed="rId132"/>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3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29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rFonts w:ascii="Montserrat;sans-serif" w:hAnsi="Montserrat;sans-serif"/>
          <w:color w:val="000000"/>
          <w:sz w:val="13"/>
        </w:rPr>
      </w:pPr>
      <w:r>
        <w:rPr>
          <w:rFonts w:ascii="Montserrat;sans-serif" w:hAnsi="Montserrat;sans-serif"/>
          <w:color w:val="000000"/>
          <w:sz w:val="13"/>
        </w:rPr>
        <w:t>Corporate Governance</w:t>
      </w:r>
    </w:p>
    <w:p>
      <w:pPr>
        <w:pStyle w:val="TextBody"/>
        <w:bidi w:val="0"/>
        <w:spacing w:before="60" w:after="283"/>
        <w:jc w:val="left"/>
        <w:rPr>
          <w:rFonts w:ascii="Montserrat;sans-serif" w:hAnsi="Montserrat;sans-serif"/>
          <w:color w:val="000000"/>
          <w:sz w:val="12"/>
        </w:rPr>
      </w:pPr>
      <w:r>
        <w:rPr>
          <w:rFonts w:ascii="Montserrat;sans-serif" w:hAnsi="Montserrat;sans-serif"/>
          <w:color w:val="000000"/>
          <w:sz w:val="12"/>
        </w:rPr>
        <w:t>Director Compensation</w:t>
      </w:r>
    </w:p>
    <w:p>
      <w:pPr>
        <w:pStyle w:val="TextBody"/>
        <w:bidi w:val="0"/>
        <w:jc w:val="left"/>
        <w:rPr/>
      </w:pPr>
      <w:r>
        <w:rPr/>
        <w:t> </w:t>
      </w:r>
    </w:p>
    <w:p>
      <w:pPr>
        <w:pStyle w:val="TextBody"/>
        <w:bidi w:val="0"/>
        <w:jc w:val="left"/>
        <w:rPr/>
      </w:pPr>
      <w:r>
        <w:rPr/>
        <w:t> </w:t>
      </w:r>
    </w:p>
    <w:p>
      <w:pPr>
        <w:pStyle w:val="Heading2"/>
        <w:bidi w:val="0"/>
        <w:jc w:val="left"/>
        <w:rPr>
          <w:rFonts w:ascii="Montserrat;sans-serif" w:hAnsi="Montserrat;sans-serif"/>
          <w:color w:val="7855FA"/>
          <w:sz w:val="28"/>
        </w:rPr>
      </w:pPr>
      <w:bookmarkStart w:id="10" w:name="director_compensation"/>
      <w:bookmarkEnd w:id="10"/>
      <w:r>
        <w:rPr>
          <w:rFonts w:ascii="Montserrat;sans-serif" w:hAnsi="Montserrat;sans-serif"/>
          <w:color w:val="7855FA"/>
          <w:sz w:val="28"/>
        </w:rPr>
        <w:t>Director Compensation</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Non-Employee Director Compensation Policy</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Members of our Board who are not employees or officers of our company, also referred to herein as our non-employee directors, receive compensation for their service.</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The Compensation Committee reviews the total compensation of our non-employee directors and each element of our outside director compensation policy annually. At the direction of the Compensation Committee, Compensia, Inc. (“Compensia”), a nationally recognized compensation consulting firm, annually analyzes the competitive position of our outside director compensation policy against the peer group used for executive compensation purposes. For a more detailed description of the role of Compensia, the Compensation Committee’s independent compensation consultant, please refer to the section titled “</w:t>
      </w:r>
      <w:r>
        <w:rPr>
          <w:rFonts w:ascii="Montserrat;sans-serif" w:hAnsi="Montserrat;sans-serif"/>
          <w:color w:val="7855FA"/>
          <w:sz w:val="18"/>
        </w:rPr>
        <w:t>Executive Compensation – Compensation Discussion and Analysis – Compensation-Setting Process – Role of Compensation Consultant</w:t>
      </w:r>
      <w:r>
        <w:rPr>
          <w:rFonts w:ascii="Montserrat;sans-serif" w:hAnsi="Montserrat;sans-serif"/>
          <w:color w:val="000000"/>
          <w:sz w:val="18"/>
        </w:rPr>
        <w:t>.” Under our amended and restated outside director compensation policy, each non-employee director is entitled to receive (i) an annual restricted stock unit (“RSU”) award on the date of each annual meeting of stockholders with a total dollar value of $250,000 for the director’s service as a board member (pro-rated for directors who first become a non-employee director other than at an annual meeting) that will vest on the earlier to occur of the day prior to the next occurring annual meeting or the one-year anniversary of the date of grant, subject to continued service, and (ii) annual cash retainers, payable quarterly in arrears, for the director’s service as follows:</w:t>
      </w:r>
    </w:p>
    <w:p>
      <w:pPr>
        <w:pStyle w:val="TextBody"/>
        <w:bidi w:val="0"/>
        <w:jc w:val="both"/>
        <w:rPr/>
      </w:pPr>
      <w:r>
        <w:rPr/>
        <w:t> </w:t>
      </w:r>
    </w:p>
    <w:tbl>
      <w:tblPr>
        <w:tblW w:w="8079" w:type="dxa"/>
        <w:jc w:val="left"/>
        <w:tblInd w:w="0" w:type="dxa"/>
        <w:tblLayout w:type="fixed"/>
        <w:tblCellMar>
          <w:top w:w="28" w:type="dxa"/>
          <w:left w:w="28" w:type="dxa"/>
          <w:bottom w:w="28" w:type="dxa"/>
          <w:right w:w="28" w:type="dxa"/>
        </w:tblCellMar>
      </w:tblPr>
      <w:tblGrid>
        <w:gridCol w:w="5471"/>
        <w:gridCol w:w="146"/>
        <w:gridCol w:w="211"/>
        <w:gridCol w:w="676"/>
        <w:gridCol w:w="146"/>
        <w:gridCol w:w="146"/>
        <w:gridCol w:w="211"/>
        <w:gridCol w:w="781"/>
        <w:gridCol w:w="291"/>
      </w:tblGrid>
      <w:tr>
        <w:trPr/>
        <w:tc>
          <w:tcPr>
            <w:tcW w:w="5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5471"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sans-serif" w:hAnsi="Montserrat;sans-serif"/>
                <w:b/>
                <w:color w:val="7855FA"/>
                <w:sz w:val="17"/>
              </w:rPr>
            </w:pPr>
            <w:r>
              <w:rPr>
                <w:rFonts w:ascii="Montserrat;sans-serif" w:hAnsi="Montserrat;sans-serif"/>
                <w:b/>
                <w:color w:val="7855FA"/>
                <w:sz w:val="17"/>
              </w:rPr>
              <w:t>Annual RSU Award</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5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Board Member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7"/>
              </w:rPr>
            </w:pPr>
            <w:r>
              <w:rPr>
                <w:rFonts w:ascii="Montserrat;sans-serif" w:hAnsi="Montserrat;sans-serif"/>
                <w:color w:val="000000"/>
                <w:sz w:val="17"/>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250,000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471"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sans-serif" w:hAnsi="Montserrat;sans-serif"/>
                <w:b/>
                <w:color w:val="7855FA"/>
                <w:sz w:val="17"/>
              </w:rPr>
            </w:pPr>
            <w:r>
              <w:rPr>
                <w:rFonts w:ascii="Montserrat;sans-serif" w:hAnsi="Montserrat;sans-serif"/>
                <w:b/>
                <w:color w:val="7855FA"/>
                <w:sz w:val="17"/>
              </w:rPr>
              <w:t>Annual Cash Retainer</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5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Board Member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7"/>
              </w:rPr>
            </w:pPr>
            <w:r>
              <w:rPr>
                <w:rFonts w:ascii="Montserrat;sans-serif" w:hAnsi="Montserrat;sans-serif"/>
                <w:color w:val="000000"/>
                <w:sz w:val="17"/>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50,000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471"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sans-serif" w:hAnsi="Montserrat;sans-serif"/>
                <w:b/>
                <w:color w:val="7855FA"/>
                <w:sz w:val="17"/>
              </w:rPr>
            </w:pPr>
            <w:r>
              <w:rPr>
                <w:rFonts w:ascii="Montserrat;sans-serif" w:hAnsi="Montserrat;sans-serif"/>
                <w:b/>
                <w:color w:val="7855FA"/>
                <w:sz w:val="17"/>
              </w:rPr>
              <w:t>Additional Annual Cash Retainers</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5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Board Chair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7"/>
              </w:rPr>
            </w:pPr>
            <w:r>
              <w:rPr>
                <w:rFonts w:ascii="Montserrat;sans-serif" w:hAnsi="Montserrat;sans-serif"/>
                <w:color w:val="000000"/>
                <w:sz w:val="17"/>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107,500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Lead Independent Director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7"/>
              </w:rPr>
            </w:pPr>
            <w:r>
              <w:rPr>
                <w:rFonts w:ascii="Montserrat;sans-serif" w:hAnsi="Montserrat;sans-serif"/>
                <w:color w:val="000000"/>
                <w:sz w:val="17"/>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47,500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471"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sans-serif" w:hAnsi="Montserrat;sans-serif"/>
                <w:b/>
                <w:color w:val="7855FA"/>
                <w:sz w:val="17"/>
              </w:rPr>
            </w:pPr>
            <w:r>
              <w:rPr>
                <w:rFonts w:ascii="Montserrat;sans-serif" w:hAnsi="Montserrat;sans-serif"/>
                <w:b/>
                <w:color w:val="7855FA"/>
                <w:sz w:val="17"/>
              </w:rPr>
              <w:t>Additional Annual Cash Retainers for Committee Service</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b/>
                <w:color w:val="7855FA"/>
                <w:sz w:val="17"/>
              </w:rPr>
            </w:pPr>
            <w:r>
              <w:rPr>
                <w:rFonts w:ascii="Montserrat;sans-serif" w:hAnsi="Montserrat;sans-serif"/>
                <w:b/>
                <w:color w:val="7855FA"/>
                <w:sz w:val="17"/>
              </w:rPr>
              <w:t>Chair</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b/>
                <w:color w:val="7855FA"/>
                <w:sz w:val="17"/>
              </w:rPr>
            </w:pPr>
            <w:r>
              <w:rPr>
                <w:rFonts w:ascii="Montserrat;sans-serif" w:hAnsi="Montserrat;sans-serif"/>
                <w:b/>
                <w:color w:val="7855FA"/>
                <w:sz w:val="17"/>
              </w:rPr>
              <w:t>Member</w:t>
            </w:r>
          </w:p>
        </w:tc>
        <w:tc>
          <w:tcPr>
            <w:tcW w:w="291"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5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Audit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7"/>
              </w:rPr>
            </w:pPr>
            <w:r>
              <w:rPr>
                <w:rFonts w:ascii="Montserrat;sans-serif" w:hAnsi="Montserrat;sans-serif"/>
                <w:color w:val="000000"/>
                <w:sz w:val="17"/>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30,000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7"/>
              </w:rPr>
            </w:pPr>
            <w:r>
              <w:rPr>
                <w:rFonts w:ascii="Montserrat;sans-serif" w:hAnsi="Montserrat;sans-serif"/>
                <w:color w:val="000000"/>
                <w:sz w:val="17"/>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12,500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Compensation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7"/>
              </w:rPr>
            </w:pPr>
            <w:r>
              <w:rPr>
                <w:rFonts w:ascii="Montserrat;sans-serif" w:hAnsi="Montserrat;sans-serif"/>
                <w:color w:val="000000"/>
                <w:sz w:val="17"/>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20,000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7"/>
              </w:rPr>
            </w:pPr>
            <w:r>
              <w:rPr>
                <w:rFonts w:ascii="Montserrat;sans-serif" w:hAnsi="Montserrat;sans-serif"/>
                <w:color w:val="000000"/>
                <w:sz w:val="17"/>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10,000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Nominating and Corporate Governance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7"/>
              </w:rPr>
            </w:pPr>
            <w:r>
              <w:rPr>
                <w:rFonts w:ascii="Montserrat;sans-serif" w:hAnsi="Montserrat;sans-serif"/>
                <w:color w:val="000000"/>
                <w:sz w:val="17"/>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15,000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7"/>
              </w:rPr>
            </w:pPr>
            <w:r>
              <w:rPr>
                <w:rFonts w:ascii="Montserrat;sans-serif" w:hAnsi="Montserrat;sans-serif"/>
                <w:color w:val="000000"/>
                <w:sz w:val="17"/>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7,500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471"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Security and Privacy Committee</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7"/>
              </w:rPr>
            </w:pPr>
            <w:r>
              <w:rPr>
                <w:rFonts w:ascii="Montserrat;sans-serif" w:hAnsi="Montserrat;sans-serif"/>
                <w:color w:val="000000"/>
                <w:sz w:val="17"/>
              </w:rPr>
              <w:t>$</w:t>
            </w:r>
          </w:p>
        </w:tc>
        <w:tc>
          <w:tcPr>
            <w:tcW w:w="67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15,000</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7"/>
              </w:rPr>
            </w:pPr>
            <w:r>
              <w:rPr>
                <w:rFonts w:ascii="Montserrat;sans-serif" w:hAnsi="Montserrat;sans-serif"/>
                <w:color w:val="000000"/>
                <w:sz w:val="17"/>
              </w:rPr>
              <w:t>$</w:t>
            </w:r>
          </w:p>
        </w:tc>
        <w:tc>
          <w:tcPr>
            <w:tcW w:w="78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7,500</w:t>
            </w:r>
          </w:p>
        </w:tc>
        <w:tc>
          <w:tcPr>
            <w:tcW w:w="29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Montserrat;sans-serif" w:hAnsi="Montserrat;sans-serif"/>
          <w:color w:val="000000"/>
          <w:sz w:val="18"/>
        </w:rPr>
      </w:pPr>
      <w:r>
        <w:rPr>
          <w:rFonts w:ascii="Montserrat;sans-serif" w:hAnsi="Montserrat;sans-serif"/>
          <w:color w:val="000000"/>
          <w:sz w:val="18"/>
        </w:rPr>
        <w:t>Non-employee directors receive no other form of remuneration, perquisites or benefits, but are reimbursed for their reasonable travel expenses incurred in attending Board and committee meetings.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Our Amended and Restated 2016 Equity Incentive Plan provides that, in any fiscal year, none of our non-employee directors may be granted cash-settled or stock-settled awards with a grant date fair value of more than $750,000 (or, in connection with a director’s initial service, $1.5 million).</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301"/>
        <w:gridCol w:w="2671"/>
      </w:tblGrid>
      <w:tr>
        <w:trPr/>
        <w:tc>
          <w:tcPr>
            <w:tcW w:w="30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30</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140"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29" descr=""/>
                          <pic:cNvPicPr>
                            <a:picLocks noChangeAspect="1" noChangeArrowheads="1"/>
                          </pic:cNvPicPr>
                        </pic:nvPicPr>
                        <pic:blipFill>
                          <a:blip r:embed="rId133"/>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rFonts w:ascii="Montserrat;sans-serif" w:hAnsi="Montserrat;sans-serif"/>
          <w:color w:val="000000"/>
          <w:sz w:val="13"/>
        </w:rPr>
      </w:pPr>
      <w:r>
        <w:rPr>
          <w:rFonts w:ascii="Montserrat;sans-serif" w:hAnsi="Montserrat;sans-serif"/>
          <w:color w:val="000000"/>
          <w:sz w:val="13"/>
        </w:rPr>
        <w:t>Corporate Governance</w:t>
      </w:r>
    </w:p>
    <w:p>
      <w:pPr>
        <w:pStyle w:val="TextBody"/>
        <w:bidi w:val="0"/>
        <w:spacing w:before="60" w:after="283"/>
        <w:jc w:val="right"/>
        <w:rPr>
          <w:rFonts w:ascii="Montserrat;sans-serif" w:hAnsi="Montserrat;sans-serif"/>
          <w:color w:val="000000"/>
          <w:sz w:val="12"/>
        </w:rPr>
      </w:pPr>
      <w:r>
        <w:rPr>
          <w:rFonts w:ascii="Montserrat;sans-serif" w:hAnsi="Montserrat;sans-serif"/>
          <w:color w:val="000000"/>
          <w:sz w:val="12"/>
        </w:rPr>
        <w:t>Director Compensation</w:t>
      </w:r>
    </w:p>
    <w:p>
      <w:pPr>
        <w:pStyle w:val="TextBody"/>
        <w:bidi w:val="0"/>
        <w:jc w:val="right"/>
        <w:rPr/>
      </w:pPr>
      <w:r>
        <w:rPr/>
        <w:t> </w:t>
      </w:r>
    </w:p>
    <w:p>
      <w:pPr>
        <w:pStyle w:val="TextBody"/>
        <w:bidi w:val="0"/>
        <w:jc w:val="right"/>
        <w:rPr/>
      </w:pPr>
      <w:r>
        <w:rPr/>
        <w:t> </w:t>
      </w:r>
    </w:p>
    <w:p>
      <w:pPr>
        <w:pStyle w:val="TextBody"/>
        <w:bidi w:val="0"/>
        <w:jc w:val="both"/>
        <w:rPr>
          <w:rFonts w:ascii="Montserrat;sans-serif" w:hAnsi="Montserrat;sans-serif"/>
          <w:b/>
          <w:color w:val="000000"/>
          <w:sz w:val="22"/>
        </w:rPr>
      </w:pPr>
      <w:r>
        <w:rPr>
          <w:rFonts w:ascii="Montserrat;sans-serif" w:hAnsi="Montserrat;sans-serif"/>
          <w:b/>
          <w:color w:val="000000"/>
          <w:sz w:val="22"/>
        </w:rPr>
        <w:t>Fiscal Year 2026 Director Compensation Table</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The following table provides information for all compensation awarded to, earned by or paid to each person who served as a non-employee director for all or a portion of the fiscal year ended July 31, 2026. Mr. Ramaswami, our CEO, did not receive compensation for his service as a director. Dr. Lavender was appointed to our Board in September 2025. The compensation received by Mr. Ramaswami as an employee is shown in “</w:t>
      </w:r>
      <w:r>
        <w:rPr>
          <w:rFonts w:ascii="Montserrat;sans-serif" w:hAnsi="Montserrat;sans-serif"/>
          <w:color w:val="7855FA"/>
          <w:sz w:val="18"/>
        </w:rPr>
        <w:t>Executive Compensation – Executive Compensation Tables – Fiscal Year 2026 Summary Compensation Table.</w:t>
      </w:r>
      <w:r>
        <w:rPr>
          <w:rFonts w:ascii="Montserrat;sans-serif" w:hAnsi="Montserrat;sans-serif"/>
          <w:color w:val="000000"/>
          <w:sz w:val="18"/>
        </w:rPr>
        <w:t>”</w:t>
      </w:r>
    </w:p>
    <w:p>
      <w:pPr>
        <w:pStyle w:val="TextBody"/>
        <w:bidi w:val="0"/>
        <w:jc w:val="both"/>
        <w:rPr/>
      </w:pPr>
      <w:r>
        <w:rPr/>
        <w:t> </w:t>
      </w:r>
    </w:p>
    <w:tbl>
      <w:tblPr>
        <w:tblW w:w="10835" w:type="dxa"/>
        <w:jc w:val="left"/>
        <w:tblInd w:w="0" w:type="dxa"/>
        <w:tblLayout w:type="fixed"/>
        <w:tblCellMar>
          <w:top w:w="28" w:type="dxa"/>
          <w:left w:w="28" w:type="dxa"/>
          <w:bottom w:w="28" w:type="dxa"/>
          <w:right w:w="28" w:type="dxa"/>
        </w:tblCellMar>
      </w:tblPr>
      <w:tblGrid>
        <w:gridCol w:w="1211"/>
        <w:gridCol w:w="146"/>
        <w:gridCol w:w="146"/>
        <w:gridCol w:w="781"/>
        <w:gridCol w:w="146"/>
        <w:gridCol w:w="146"/>
        <w:gridCol w:w="146"/>
        <w:gridCol w:w="781"/>
        <w:gridCol w:w="146"/>
        <w:gridCol w:w="146"/>
        <w:gridCol w:w="218"/>
        <w:gridCol w:w="518"/>
        <w:gridCol w:w="146"/>
        <w:gridCol w:w="146"/>
        <w:gridCol w:w="387"/>
        <w:gridCol w:w="919"/>
        <w:gridCol w:w="146"/>
        <w:gridCol w:w="146"/>
        <w:gridCol w:w="387"/>
        <w:gridCol w:w="919"/>
        <w:gridCol w:w="146"/>
        <w:gridCol w:w="146"/>
        <w:gridCol w:w="387"/>
        <w:gridCol w:w="919"/>
        <w:gridCol w:w="146"/>
        <w:gridCol w:w="146"/>
        <w:gridCol w:w="146"/>
        <w:gridCol w:w="781"/>
        <w:gridCol w:w="291"/>
      </w:tblGrid>
      <w:tr>
        <w:trPr/>
        <w:tc>
          <w:tcPr>
            <w:tcW w:w="1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1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Montserrat;sans-serif" w:hAnsi="Montserrat;sans-serif"/>
                <w:b/>
                <w:color w:val="7855FA"/>
                <w:sz w:val="15"/>
              </w:rPr>
            </w:pPr>
            <w:r>
              <w:rPr>
                <w:rFonts w:ascii="Montserrat;sans-serif" w:hAnsi="Montserrat;sans-serif"/>
                <w:b/>
                <w:color w:val="7855FA"/>
                <w:sz w:val="15"/>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5"/>
              </w:rPr>
            </w:pPr>
            <w:r>
              <w:rPr>
                <w:rFonts w:ascii="Montserrat;sans-serif" w:hAnsi="Montserrat;sans-serif"/>
                <w:b/>
                <w:color w:val="7855FA"/>
                <w:sz w:val="15"/>
              </w:rPr>
              <w:t>Fees</w:t>
              <w:br/>
              <w:t>Earned</w:t>
              <w:br/>
              <w:t>or Paid in</w:t>
              <w:br/>
              <w:t>Cash</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360" w:before="0" w:after="283"/>
              <w:jc w:val="right"/>
              <w:rPr>
                <w:rFonts w:ascii="Montserrat;sans-serif" w:hAnsi="Montserrat;sans-serif"/>
                <w:sz w:val="15"/>
              </w:rPr>
            </w:pPr>
            <w:r>
              <w:rPr>
                <w:rFonts w:ascii="Montserrat;sans-serif" w:hAnsi="Montserrat;sans-serif"/>
                <w:b/>
                <w:color w:val="7855FA"/>
                <w:sz w:val="15"/>
              </w:rPr>
              <w:t>Stock</w:t>
              <w:br/>
              <w:t>Awards</w:t>
            </w:r>
            <w:r>
              <w:rPr>
                <w:rFonts w:ascii="Montserrat;sans-serif" w:hAnsi="Montserrat;sans-serif"/>
                <w:b/>
                <w:color w:val="7855FA"/>
                <w:sz w:val="10"/>
              </w:rPr>
              <w:t>(1)</w:t>
            </w:r>
            <w:r>
              <w:rPr>
                <w:rFonts w:ascii="Montserrat;sans-serif" w:hAnsi="Montserrat;sans-serif"/>
                <w:b/>
                <w:color w:val="7855FA"/>
                <w:sz w:val="15"/>
              </w:rPr>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5"/>
              </w:rPr>
            </w:pPr>
            <w:r>
              <w:rPr>
                <w:rFonts w:ascii="Montserrat;sans-serif" w:hAnsi="Montserrat;sans-serif"/>
                <w:b/>
                <w:color w:val="7855FA"/>
                <w:sz w:val="15"/>
              </w:rPr>
              <w:t>Option</w:t>
              <w:br/>
              <w:t>Awards</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5"/>
              </w:rPr>
            </w:pPr>
            <w:r>
              <w:rPr>
                <w:rFonts w:ascii="Montserrat;sans-serif" w:hAnsi="Montserrat;sans-serif"/>
                <w:b/>
                <w:color w:val="7855FA"/>
                <w:sz w:val="15"/>
              </w:rPr>
              <w:t>Non-Equity</w:t>
              <w:br/>
              <w:t>Incentive</w:t>
              <w:br/>
              <w:t>Plan</w:t>
              <w:br/>
              <w:t>Compensation</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5"/>
              </w:rPr>
            </w:pPr>
            <w:r>
              <w:rPr>
                <w:rFonts w:ascii="Montserrat;sans-serif" w:hAnsi="Montserrat;sans-serif"/>
                <w:b/>
                <w:color w:val="7855FA"/>
                <w:sz w:val="15"/>
              </w:rPr>
              <w:t>Change in</w:t>
              <w:br/>
              <w:t>Pension</w:t>
              <w:br/>
              <w:t>Value and</w:t>
              <w:br/>
              <w:t>Nonqualified</w:t>
              <w:br/>
              <w:t>Deferred</w:t>
              <w:br/>
              <w:t>Compensation</w:t>
              <w:br/>
              <w:t>Earnings</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5"/>
              </w:rPr>
            </w:pPr>
            <w:r>
              <w:rPr>
                <w:rFonts w:ascii="Montserrat;sans-serif" w:hAnsi="Montserrat;sans-serif"/>
                <w:b/>
                <w:color w:val="7855FA"/>
                <w:sz w:val="15"/>
              </w:rPr>
              <w:t>All Other</w:t>
              <w:br/>
              <w:t>Compensation</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5"/>
              </w:rPr>
            </w:pPr>
            <w:r>
              <w:rPr>
                <w:rFonts w:ascii="Montserrat;sans-serif" w:hAnsi="Montserrat;sans-serif"/>
                <w:b/>
                <w:color w:val="7855FA"/>
                <w:sz w:val="15"/>
              </w:rPr>
              <w:t>Total</w:t>
              <w:b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1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736"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306"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306"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306"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2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6"/>
              </w:rPr>
            </w:pPr>
            <w:r>
              <w:rPr>
                <w:rFonts w:ascii="Montserrat;Montserrat Medium;sans-serif" w:hAnsi="Montserrat;Montserrat Medium;sans-serif"/>
                <w:b/>
                <w:color w:val="000000"/>
                <w:sz w:val="16"/>
              </w:rPr>
              <w:t>Eric K. Brandt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69,034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218,297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287,331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2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6"/>
              </w:rPr>
            </w:pPr>
            <w:r>
              <w:rPr>
                <w:rFonts w:ascii="Montserrat;Montserrat Medium;sans-serif" w:hAnsi="Montserrat;Montserrat Medium;sans-serif"/>
                <w:b/>
                <w:color w:val="000000"/>
                <w:sz w:val="16"/>
              </w:rPr>
              <w:t>Craig Conway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67,500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218,297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285,797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2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6"/>
              </w:rPr>
            </w:pPr>
            <w:r>
              <w:rPr>
                <w:rFonts w:ascii="Montserrat;Montserrat Medium;sans-serif" w:hAnsi="Montserrat;Montserrat Medium;sans-serif"/>
                <w:b/>
                <w:color w:val="000000"/>
                <w:sz w:val="16"/>
              </w:rPr>
              <w:t>Max de Groen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72,500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218,297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290,797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2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6"/>
              </w:rPr>
            </w:pPr>
            <w:r>
              <w:rPr>
                <w:rFonts w:ascii="Montserrat;Montserrat Medium;sans-serif" w:hAnsi="Montserrat;Montserrat Medium;sans-serif"/>
                <w:b/>
                <w:color w:val="000000"/>
                <w:sz w:val="16"/>
              </w:rPr>
              <w:t>Virginia Gambale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174,144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218,297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392,441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2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6"/>
              </w:rPr>
            </w:pPr>
            <w:r>
              <w:rPr>
                <w:rFonts w:ascii="Montserrat;Montserrat Medium;sans-serif" w:hAnsi="Montserrat;Montserrat Medium;sans-serif"/>
                <w:b/>
                <w:color w:val="000000"/>
                <w:sz w:val="16"/>
              </w:rPr>
              <w:t>Steven J. Gomo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87,500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218,297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305,797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211"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ind w:left="100" w:right="0" w:firstLine="100"/>
              <w:jc w:val="left"/>
              <w:rPr>
                <w:rFonts w:ascii="Montserrat Medium;sans-serif" w:hAnsi="Montserrat Medium;sans-serif"/>
                <w:sz w:val="16"/>
              </w:rPr>
            </w:pPr>
            <w:r>
              <w:rPr>
                <w:rFonts w:ascii="Montserrat;Montserrat Medium;sans-serif" w:hAnsi="Montserrat;Montserrat Medium;sans-serif"/>
                <w:b/>
                <w:color w:val="000000"/>
                <w:sz w:val="16"/>
              </w:rPr>
              <w:t>Greg Lavender</w:t>
            </w:r>
            <w:r>
              <w:rPr>
                <w:rFonts w:ascii="Montserrat;Montserrat Medium;sans-serif" w:hAnsi="Montserrat;Montserrat Medium;sans-serif"/>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50,096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283,764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333,860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2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6"/>
              </w:rPr>
            </w:pPr>
            <w:r>
              <w:rPr>
                <w:rFonts w:ascii="Montserrat;Montserrat Medium;sans-serif" w:hAnsi="Montserrat;Montserrat Medium;sans-serif"/>
                <w:b/>
                <w:color w:val="000000"/>
                <w:sz w:val="16"/>
              </w:rPr>
              <w:t>Gayle Sheppard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76,247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218,297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294,544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211"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6"/>
              </w:rPr>
            </w:pPr>
            <w:r>
              <w:rPr>
                <w:rFonts w:ascii="Montserrat;Montserrat Medium;sans-serif" w:hAnsi="Montserrat;Montserrat Medium;sans-serif"/>
                <w:b/>
                <w:color w:val="000000"/>
                <w:sz w:val="16"/>
              </w:rPr>
              <w:t>Mark Templeton</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77,500</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218,297</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295,797</w:t>
            </w:r>
          </w:p>
        </w:tc>
        <w:tc>
          <w:tcPr>
            <w:tcW w:w="29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Montserrat;sans-serif" w:hAnsi="Montserrat;sans-serif"/>
          <w:color w:val="000000"/>
          <w:sz w:val="16"/>
        </w:rPr>
      </w:pPr>
      <w:r>
        <w:rPr>
          <w:rFonts w:ascii="Montserrat;sans-serif" w:hAnsi="Montserrat;sans-serif"/>
          <w:color w:val="000000"/>
          <w:sz w:val="16"/>
        </w:rPr>
        <w:t>(1)</w:t>
      </w:r>
    </w:p>
    <w:p>
      <w:pPr>
        <w:pStyle w:val="TextBody"/>
        <w:bidi w:val="0"/>
        <w:spacing w:before="0" w:after="0"/>
        <w:jc w:val="both"/>
        <w:rPr>
          <w:rFonts w:ascii="Montserrat;sans-serif" w:hAnsi="Montserrat;sans-serif"/>
          <w:color w:val="000000"/>
          <w:sz w:val="16"/>
        </w:rPr>
      </w:pPr>
      <w:r>
        <w:rPr>
          <w:rFonts w:ascii="Montserrat;sans-serif" w:hAnsi="Montserrat;sans-serif"/>
          <w:color w:val="000000"/>
          <w:sz w:val="16"/>
        </w:rPr>
        <w:t>The amounts reported in this column represent the aggregate grant date fair value of the RSUs granted, as computed in accordance with Financial Accounting Standards Board, Accounting Standards Codification Topic 718, Compensation - Stock Compensation (“ASC Topic 718”). The assumptions used in the valuation of these awards are set forth in the notes to our consolidated financial statements included in our Annual Report on Form 10-K. These amounts do not necessarily reflect the actual economic value that may ultimately be realized by the director.</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(2)</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Dr. Lavender’s stock awards include an initial award of 843 RSUs upon his appointment to our Board in September 2025 pursuant to our non-employee director compensation policy. The award vested in full on the day preceding our 2025 annual meeting of stockholders.</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2641"/>
        <w:gridCol w:w="331"/>
      </w:tblGrid>
      <w:tr>
        <w:trPr/>
        <w:tc>
          <w:tcPr>
            <w:tcW w:w="26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141"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30" descr=""/>
                          <pic:cNvPicPr>
                            <a:picLocks noChangeAspect="1" noChangeArrowheads="1"/>
                          </pic:cNvPicPr>
                        </pic:nvPicPr>
                        <pic:blipFill>
                          <a:blip r:embed="rId134"/>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3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31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rFonts w:ascii="Montserrat;sans-serif" w:hAnsi="Montserrat;sans-serif"/>
          <w:color w:val="000000"/>
          <w:sz w:val="13"/>
        </w:rPr>
      </w:pPr>
      <w:r>
        <w:rPr>
          <w:rFonts w:ascii="Montserrat;sans-serif" w:hAnsi="Montserrat;sans-serif"/>
          <w:color w:val="000000"/>
          <w:sz w:val="13"/>
        </w:rPr>
        <w:t>Corporate Governance</w:t>
      </w:r>
    </w:p>
    <w:p>
      <w:pPr>
        <w:pStyle w:val="TextBody"/>
        <w:bidi w:val="0"/>
        <w:spacing w:before="60" w:after="283"/>
        <w:jc w:val="left"/>
        <w:rPr>
          <w:rFonts w:ascii="Montserrat;sans-serif" w:hAnsi="Montserrat;sans-serif"/>
          <w:color w:val="000000"/>
          <w:sz w:val="12"/>
        </w:rPr>
      </w:pPr>
      <w:r>
        <w:rPr>
          <w:rFonts w:ascii="Montserrat;sans-serif" w:hAnsi="Montserrat;sans-serif"/>
          <w:color w:val="000000"/>
          <w:sz w:val="12"/>
        </w:rPr>
        <w:t>Director Compensation</w:t>
      </w:r>
    </w:p>
    <w:p>
      <w:pPr>
        <w:pStyle w:val="TextBody"/>
        <w:bidi w:val="0"/>
        <w:jc w:val="both"/>
        <w:rPr/>
      </w:pPr>
      <w:r>
        <w:rPr/>
        <w:t> </w:t>
      </w:r>
    </w:p>
    <w:p>
      <w:pPr>
        <w:pStyle w:val="TextBody"/>
        <w:bidi w:val="0"/>
        <w:jc w:val="both"/>
        <w:rPr/>
      </w:pPr>
      <w:r>
        <w:rPr/>
        <w:t> </w:t>
      </w:r>
    </w:p>
    <w:p>
      <w:pPr>
        <w:pStyle w:val="TextBody"/>
        <w:bidi w:val="0"/>
        <w:jc w:val="both"/>
        <w:rPr>
          <w:rFonts w:ascii="Montserrat;sans-serif" w:hAnsi="Montserrat;sans-serif"/>
          <w:b/>
          <w:color w:val="000000"/>
          <w:sz w:val="22"/>
        </w:rPr>
      </w:pPr>
      <w:r>
        <w:rPr>
          <w:rFonts w:ascii="Montserrat;sans-serif" w:hAnsi="Montserrat;sans-serif"/>
          <w:b/>
          <w:color w:val="000000"/>
          <w:sz w:val="22"/>
        </w:rPr>
        <w:t>Outstanding Director Equity Awards at Fiscal Year 2026 Year-End Table</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Our non-employee directors held the following outstanding option and RSU awards as of July 31, 2026. The table excludes Mr. Ramaswami, whose outstanding awards are reflected in the section titled “</w:t>
      </w:r>
      <w:r>
        <w:rPr>
          <w:rFonts w:ascii="Montserrat;sans-serif" w:hAnsi="Montserrat;sans-serif"/>
          <w:color w:val="7855FA"/>
          <w:sz w:val="18"/>
        </w:rPr>
        <w:t>Executive Compensation – Executive Compensation Tables – Outstanding Equity Awards at Fiscal Year 2026 Year-End Table</w:t>
      </w:r>
      <w:r>
        <w:rPr>
          <w:rFonts w:ascii="Montserrat;sans-serif" w:hAnsi="Montserrat;sans-serif"/>
          <w:color w:val="000000"/>
          <w:sz w:val="18"/>
        </w:rPr>
        <w:t>.”</w:t>
      </w:r>
    </w:p>
    <w:p>
      <w:pPr>
        <w:pStyle w:val="TextBody"/>
        <w:bidi w:val="0"/>
        <w:jc w:val="both"/>
        <w:rPr/>
      </w:pPr>
      <w:r>
        <w:rPr/>
        <w:t> </w:t>
      </w:r>
    </w:p>
    <w:tbl>
      <w:tblPr>
        <w:tblW w:w="7295" w:type="dxa"/>
        <w:jc w:val="left"/>
        <w:tblInd w:w="0" w:type="dxa"/>
        <w:tblLayout w:type="fixed"/>
        <w:tblCellMar>
          <w:top w:w="28" w:type="dxa"/>
          <w:left w:w="28" w:type="dxa"/>
          <w:bottom w:w="28" w:type="dxa"/>
          <w:right w:w="28" w:type="dxa"/>
        </w:tblCellMar>
      </w:tblPr>
      <w:tblGrid>
        <w:gridCol w:w="1811"/>
        <w:gridCol w:w="146"/>
        <w:gridCol w:w="743"/>
        <w:gridCol w:w="1762"/>
        <w:gridCol w:w="146"/>
        <w:gridCol w:w="146"/>
        <w:gridCol w:w="456"/>
        <w:gridCol w:w="1794"/>
        <w:gridCol w:w="291"/>
      </w:tblGrid>
      <w:tr>
        <w:trPr/>
        <w:tc>
          <w:tcPr>
            <w:tcW w:w="1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1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Montserrat;sans-serif" w:hAnsi="Montserrat;sans-serif"/>
                <w:b/>
                <w:color w:val="7855FA"/>
                <w:sz w:val="16"/>
              </w:rPr>
            </w:pPr>
            <w:r>
              <w:rPr>
                <w:rFonts w:ascii="Montserrat;sans-serif" w:hAnsi="Montserrat;sans-serif"/>
                <w:b/>
                <w:color w:val="7855FA"/>
                <w:sz w:val="16"/>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6"/>
              </w:rPr>
            </w:pPr>
            <w:r>
              <w:rPr>
                <w:rFonts w:ascii="Montserrat;sans-serif" w:hAnsi="Montserrat;sans-serif"/>
                <w:b/>
                <w:color w:val="7855FA"/>
                <w:sz w:val="16"/>
              </w:rPr>
              <w:t># of Outstanding Options</w:t>
              <w:br/>
              <w:t>(in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6"/>
              </w:rPr>
            </w:pPr>
            <w:r>
              <w:rPr>
                <w:rFonts w:ascii="Montserrat;sans-serif" w:hAnsi="Montserrat;sans-serif"/>
                <w:b/>
                <w:color w:val="7855FA"/>
                <w:sz w:val="16"/>
              </w:rPr>
              <w:t># of Outstanding RSUs</w:t>
              <w:br/>
              <w:t>(in shares)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1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2505"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2250"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1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Eric K. Brandt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4,588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Craig Conway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4,588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Max de Groen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4,588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Virginia Gambale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4,588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Steven J. Gomo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4,588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Greg Lavender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4,588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Gayle Sheppard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4,588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811"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Mark Templeton</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762"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45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794"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4,588</w:t>
            </w:r>
          </w:p>
        </w:tc>
        <w:tc>
          <w:tcPr>
            <w:tcW w:w="29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left"/>
        <w:rPr>
          <w:rFonts w:ascii="Montserrat;sans-serif" w:hAnsi="Montserrat;sans-serif"/>
          <w:b/>
          <w:color w:val="000000"/>
          <w:sz w:val="22"/>
        </w:rPr>
      </w:pPr>
      <w:r>
        <w:rPr>
          <w:rFonts w:ascii="Montserrat;sans-serif" w:hAnsi="Montserrat;sans-serif"/>
          <w:b/>
          <w:color w:val="000000"/>
          <w:sz w:val="22"/>
        </w:rPr>
        <w:t>Director Stock Ownership Guidelines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Under our stock ownership guidelines for non-employee directors, each non-employee director is expected to acquire and hold a minimum stock ownership position with an aggregate value equal to at least five times the value of his or her then-current annual cash retainer for service on our Board (not including any additional cash retainers for serving as Chair of the Board, lead independent director or a member or chair of any Board committee). Non-employee directors serving on our Board when the guidelines were amended in March 2024 are expected to achieve the applicable level of ownership by the fourth annual meeting of stockholders following the date on which they joined our Board. Non-employee directors who join our Board after March 2024 are expected to achieve the applicable level of ownership by the fifth anniversary of the date on which they join our Board.</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301"/>
        <w:gridCol w:w="2671"/>
      </w:tblGrid>
      <w:tr>
        <w:trPr/>
        <w:tc>
          <w:tcPr>
            <w:tcW w:w="30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32</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142"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31" descr=""/>
                          <pic:cNvPicPr>
                            <a:picLocks noChangeAspect="1" noChangeArrowheads="1"/>
                          </pic:cNvPicPr>
                        </pic:nvPicPr>
                        <pic:blipFill>
                          <a:blip r:embed="rId135"/>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rFonts w:ascii="Montserrat;sans-serif" w:hAnsi="Montserrat;sans-serif"/>
          <w:color w:val="000000"/>
          <w:sz w:val="13"/>
        </w:rPr>
      </w:pPr>
      <w:r>
        <w:rPr>
          <w:rFonts w:ascii="Montserrat;sans-serif" w:hAnsi="Montserrat;sans-serif"/>
          <w:color w:val="000000"/>
          <w:sz w:val="13"/>
        </w:rPr>
        <w:t>Corporate Governance</w:t>
      </w:r>
    </w:p>
    <w:p>
      <w:pPr>
        <w:pStyle w:val="TextBody"/>
        <w:bidi w:val="0"/>
        <w:spacing w:before="60" w:after="283"/>
        <w:jc w:val="right"/>
        <w:rPr>
          <w:rFonts w:ascii="Montserrat;sans-serif" w:hAnsi="Montserrat;sans-serif"/>
          <w:color w:val="000000"/>
          <w:sz w:val="12"/>
        </w:rPr>
      </w:pPr>
      <w:r>
        <w:rPr>
          <w:rFonts w:ascii="Montserrat;sans-serif" w:hAnsi="Montserrat;sans-serif"/>
          <w:color w:val="000000"/>
          <w:sz w:val="12"/>
        </w:rPr>
        <w:t>Director Compensation</w:t>
      </w:r>
    </w:p>
    <w:p>
      <w:pPr>
        <w:pStyle w:val="TextBody"/>
        <w:bidi w:val="0"/>
        <w:jc w:val="right"/>
        <w:rPr/>
      </w:pPr>
      <w:r>
        <w:rPr/>
        <w:t> </w:t>
      </w:r>
    </w:p>
    <w:p>
      <w:pPr>
        <w:pStyle w:val="TextBody"/>
        <w:bidi w:val="0"/>
        <w:jc w:val="right"/>
        <w:rPr/>
      </w:pPr>
      <w:r>
        <w:rPr/>
        <w:t> </w:t>
      </w:r>
    </w:p>
    <w:p>
      <w:pPr>
        <w:pStyle w:val="Heading2"/>
        <w:bidi w:val="0"/>
        <w:spacing w:before="360" w:after="283"/>
        <w:jc w:val="left"/>
        <w:rPr>
          <w:rFonts w:ascii="Montserrat;sans-serif" w:hAnsi="Montserrat;sans-serif"/>
          <w:color w:val="7855FA"/>
          <w:sz w:val="28"/>
        </w:rPr>
      </w:pPr>
      <w:bookmarkStart w:id="11" w:name="certain_relationships_and_related_party"/>
      <w:bookmarkEnd w:id="11"/>
      <w:r>
        <w:rPr>
          <w:rFonts w:ascii="Montserrat;sans-serif" w:hAnsi="Montserrat;sans-serif"/>
          <w:color w:val="7855FA"/>
          <w:sz w:val="28"/>
        </w:rPr>
        <w:t>Certain Relationships and Related Party Transactions</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Policies and Procedures for Related Party Transactions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We have a formal written policy providing that our executive officers, directors, nominees for election as directors, beneficial owners of more than 5% of any class of our common stock, and any member of the immediate family of any of the foregoing persons, is not permitted to enter into a related party transaction with us without the consent of the Audit Committee, subject to the exceptions described below.</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In approving or rejecting any such proposal, the Audit Committee is to consider the relevant facts and circumstances available and deemed relevant to the Audit Committee, including whether the transaction is on terms no less favorable than terms generally available to an unaffiliated third party under the same or similar circumstances and the extent of the related party’s interest in the transaction. The Audit Committee has determined that certain transactions will not require committee approval, including certain employment arrangements of executive officers, director compensation, transactions with another company at which a related party’s only relationship is as a non-executive employee, director or beneficial owner of less than 10% of that company’s shares and the aggregate amount involved does not exceed the greater of $200,000 or 2% of the recipient’s consolidated gross revenues in any fiscal year, transactions where a related party’s interest arises solely from the ownership of our common stock and all holders of our common stock received the same benefit on a pro rata basis, and transactions available to all employees generally.</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Certain Relationships</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Except for the executive officer and director compensation arrangements discussed under “</w:t>
      </w:r>
      <w:r>
        <w:rPr>
          <w:rFonts w:ascii="Montserrat;sans-serif" w:hAnsi="Montserrat;sans-serif"/>
          <w:color w:val="7855FA"/>
          <w:sz w:val="18"/>
        </w:rPr>
        <w:t>Corporate Governance – Director Compensation</w:t>
      </w:r>
      <w:r>
        <w:rPr>
          <w:rFonts w:ascii="Montserrat;sans-serif" w:hAnsi="Montserrat;sans-serif"/>
          <w:color w:val="000000"/>
          <w:sz w:val="18"/>
        </w:rPr>
        <w:t>” and “</w:t>
      </w:r>
      <w:r>
        <w:rPr>
          <w:rFonts w:ascii="Montserrat;sans-serif" w:hAnsi="Montserrat;sans-serif"/>
          <w:color w:val="7855FA"/>
          <w:sz w:val="18"/>
        </w:rPr>
        <w:t>Executive Compensation</w:t>
      </w:r>
      <w:r>
        <w:rPr>
          <w:rFonts w:ascii="Montserrat;sans-serif" w:hAnsi="Montserrat;sans-serif"/>
          <w:color w:val="000000"/>
          <w:sz w:val="18"/>
        </w:rPr>
        <w:t>,” there has not been since August 1, 2025, nor is there currently proposed, any transaction in which:</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we have been or are to be a participant;</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amounts involved exceeded or will exceed $120,000; and</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any of our directors, nominees for election as directors, executive officers or beneficial holders of more than 5% of any class of our capital stock, or entities affiliated with them, or any immediate family members of or person sharing the household with any of these individuals, had or will have a direct or indirect material interest.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From time to time, in the ordinary course of business, beneficial owners of more than 5% of our outstanding Class A common stock and their affiliates purchase our products and services or provide services to us. During fiscal year 2026, affiliates of certain of our 5% stockholders purchased our products and services, and we purchased employee-benefit and retirement-plan services from an affiliate of another 5% stockholder. The fees associated with these arrangements were the result of arm’s-length negotiations, were unrelated to the applicable stockholders’ ownership of our Class A common stock, and represented an immaterial portion of our revenues or expenses. Based on these facts, we do not believe the applicable stockholders or their respective affiliates had a direct or indirect material interest in these transactions for purposes of Item 404(a) of Regulation S-K.</w:t>
      </w:r>
    </w:p>
    <w:p>
      <w:pPr>
        <w:pStyle w:val="TextBody"/>
        <w:bidi w:val="0"/>
        <w:spacing w:before="120" w:after="283"/>
        <w:jc w:val="both"/>
        <w:rPr/>
      </w:pPr>
      <w:r>
        <w:rPr/>
        <w:t> </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2641"/>
        <w:gridCol w:w="331"/>
      </w:tblGrid>
      <w:tr>
        <w:trPr/>
        <w:tc>
          <w:tcPr>
            <w:tcW w:w="26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143"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32" descr=""/>
                          <pic:cNvPicPr>
                            <a:picLocks noChangeAspect="1" noChangeArrowheads="1"/>
                          </pic:cNvPicPr>
                        </pic:nvPicPr>
                        <pic:blipFill>
                          <a:blip r:embed="rId136"/>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3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33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pPr>
      <w:r>
        <w:rPr/>
        <w:t> </w:t>
      </w:r>
    </w:p>
    <w:p>
      <w:pPr>
        <w:pStyle w:val="TextBody"/>
        <w:bidi w:val="0"/>
        <w:spacing w:before="60" w:after="283"/>
        <w:jc w:val="right"/>
        <w:rPr/>
      </w:pPr>
      <w:r>
        <w:rPr/>
        <w:t> </w:t>
      </w:r>
    </w:p>
    <w:p>
      <w:pPr>
        <w:pStyle w:val="TextBody"/>
        <w:bidi w:val="0"/>
        <w:jc w:val="right"/>
        <w:rPr/>
      </w:pPr>
      <w:r>
        <w:rPr/>
        <w:t> </w:t>
      </w:r>
    </w:p>
    <w:p>
      <w:pPr>
        <w:pStyle w:val="TextBody"/>
        <w:bidi w:val="0"/>
        <w:jc w:val="right"/>
        <w:rPr/>
      </w:pPr>
      <w:r>
        <w:rPr/>
        <w:t> </w:t>
      </w:r>
    </w:p>
    <w:p>
      <w:pPr>
        <w:pStyle w:val="Heading1"/>
        <w:bidi w:val="0"/>
        <w:jc w:val="left"/>
        <w:rPr>
          <w:rFonts w:ascii="Montserrat;sans-serif" w:hAnsi="Montserrat;sans-serif"/>
          <w:color w:val="000000"/>
          <w:sz w:val="56"/>
        </w:rPr>
      </w:pPr>
      <w:bookmarkStart w:id="12" w:name="audit_committee_matters"/>
      <w:bookmarkEnd w:id="12"/>
      <w:r>
        <w:rPr>
          <w:rFonts w:ascii="Montserrat;sans-serif" w:hAnsi="Montserrat;sans-serif"/>
          <w:color w:val="000000"/>
          <w:sz w:val="56"/>
        </w:rPr>
        <w:t>Audit Committee Matters</w:t>
      </w:r>
    </w:p>
    <w:p>
      <w:pPr>
        <w:pStyle w:val="Heading2"/>
        <w:bidi w:val="0"/>
        <w:spacing w:before="360" w:after="283"/>
        <w:jc w:val="left"/>
        <w:rPr>
          <w:rFonts w:ascii="Montserrat;sans-serif" w:hAnsi="Montserrat;sans-serif"/>
          <w:sz w:val="28"/>
        </w:rPr>
      </w:pPr>
      <w:bookmarkStart w:id="13" w:name="proposal_2_ratification_of_selection_of"/>
      <w:bookmarkEnd w:id="13"/>
      <w:r>
        <w:rPr>
          <w:rFonts w:ascii="Montserrat;sans-serif" w:hAnsi="Montserrat;sans-serif"/>
          <w:color w:val="7855FA"/>
          <w:sz w:val="28"/>
        </w:rPr>
        <w:t>Proposal 2: Ratification of Select</w:t>
      </w:r>
      <w:bookmarkStart w:id="14" w:name="proposal_2_ratification_of_selection"/>
      <w:bookmarkEnd w:id="14"/>
      <w:r>
        <w:rPr>
          <w:rFonts w:ascii="Montserrat;sans-serif" w:hAnsi="Montserrat;sans-serif"/>
          <w:color w:val="7855FA"/>
          <w:sz w:val="28"/>
        </w:rPr>
        <w:t>ion of Independent Registered Public Accounting Firm</w:t>
      </w:r>
    </w:p>
    <w:p>
      <w:pPr>
        <w:pStyle w:val="TextBody"/>
        <w:bidi w:val="0"/>
        <w:jc w:val="both"/>
        <w:rPr/>
      </w:pPr>
      <w:r>
        <w:rPr/>
        <w:t> </w:t>
      </w:r>
    </w:p>
    <w:tbl>
      <w:tblPr>
        <w:tblW w:w="5993" w:type="dxa"/>
        <w:jc w:val="left"/>
        <w:tblInd w:w="0" w:type="dxa"/>
        <w:tblLayout w:type="fixed"/>
        <w:tblCellMar>
          <w:top w:w="28" w:type="dxa"/>
          <w:left w:w="28" w:type="dxa"/>
          <w:bottom w:w="28" w:type="dxa"/>
          <w:right w:w="28" w:type="dxa"/>
        </w:tblCellMar>
      </w:tblPr>
      <w:tblGrid>
        <w:gridCol w:w="161"/>
        <w:gridCol w:w="341"/>
        <w:gridCol w:w="5491"/>
      </w:tblGrid>
      <w:tr>
        <w:trPr/>
        <w:tc>
          <w:tcPr>
            <w:tcW w:w="16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5491"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7855FA"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7855FA" w:val="clear"/>
            <w:tcMar>
              <w:top w:w="0" w:type="dxa"/>
              <w:left w:w="0" w:type="dxa"/>
              <w:bottom w:w="0" w:type="dxa"/>
              <w:right w:w="0" w:type="dxa"/>
            </w:tcMar>
            <w:vAlign w:val="center"/>
          </w:tcPr>
          <w:p>
            <w:pPr>
              <w:pStyle w:val="TableContents"/>
              <w:bidi w:val="0"/>
              <w:spacing w:before="0" w:after="283"/>
              <w:jc w:val="left"/>
              <w:rPr/>
            </w:pPr>
            <w:r>
              <w:rPr/>
              <w:t> </w:t>
            </w:r>
          </w:p>
        </w:tc>
        <w:tc>
          <w:tcPr>
            <w:tcW w:w="5491" w:type="dxa"/>
            <w:tcBorders/>
            <w:shd w:fill="7855F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7855FA" w:val="clear"/>
            <w:tcMar>
              <w:top w:w="0" w:type="dxa"/>
              <w:left w:w="0" w:type="dxa"/>
              <w:bottom w:w="0" w:type="dxa"/>
              <w:right w:w="0" w:type="dxa"/>
            </w:tcMar>
            <w:vAlign w:val="center"/>
          </w:tcPr>
          <w:p>
            <w:pPr>
              <w:pStyle w:val="TableContents"/>
              <w:bidi w:val="0"/>
              <w:spacing w:before="120" w:after="283"/>
              <w:jc w:val="left"/>
              <w:rPr/>
            </w:pPr>
            <w:r>
              <w:rPr/>
              <w:t> </w:t>
            </w:r>
          </w:p>
        </w:tc>
        <w:tc>
          <w:tcPr>
            <w:tcW w:w="341" w:type="dxa"/>
            <w:tcBorders/>
            <w:shd w:fill="7855FA" w:val="clear"/>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61925" cy="161925"/>
                  <wp:effectExtent l="0" t="0" r="0" b="0"/>
                  <wp:docPr id="144"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33" descr=""/>
                          <pic:cNvPicPr>
                            <a:picLocks noChangeAspect="1" noChangeArrowheads="1"/>
                          </pic:cNvPicPr>
                        </pic:nvPicPr>
                        <pic:blipFill>
                          <a:blip r:embed="rId137"/>
                          <a:stretch>
                            <a:fillRect/>
                          </a:stretch>
                        </pic:blipFill>
                        <pic:spPr bwMode="auto">
                          <a:xfrm>
                            <a:off x="0" y="0"/>
                            <a:ext cx="161925" cy="161925"/>
                          </a:xfrm>
                          <a:prstGeom prst="rect">
                            <a:avLst/>
                          </a:prstGeom>
                        </pic:spPr>
                      </pic:pic>
                    </a:graphicData>
                  </a:graphic>
                </wp:inline>
              </w:drawing>
            </w:r>
          </w:p>
        </w:tc>
        <w:tc>
          <w:tcPr>
            <w:tcW w:w="5491" w:type="dxa"/>
            <w:tcBorders/>
            <w:shd w:fill="7855FA" w:val="clear"/>
            <w:tcMar>
              <w:top w:w="0" w:type="dxa"/>
              <w:left w:w="0" w:type="dxa"/>
              <w:bottom w:w="0" w:type="dxa"/>
              <w:right w:w="0" w:type="dxa"/>
            </w:tcMar>
            <w:vAlign w:val="center"/>
          </w:tcPr>
          <w:p>
            <w:pPr>
              <w:pStyle w:val="TableContents"/>
              <w:bidi w:val="0"/>
              <w:spacing w:before="0" w:after="283"/>
              <w:jc w:val="left"/>
              <w:rPr>
                <w:rFonts w:ascii="Montserrat" w:hAnsi="Montserrat"/>
                <w:sz w:val="18"/>
              </w:rPr>
            </w:pPr>
            <w:r>
              <w:rPr>
                <w:rFonts w:ascii="Montserrat;Montserrat Medium;sans-serif" w:hAnsi="Montserrat;Montserrat Medium;sans-serif"/>
                <w:b/>
                <w:color w:val="FFFFFF"/>
                <w:sz w:val="18"/>
              </w:rPr>
              <w:t>Our Board Recommends a</w:t>
            </w:r>
            <w:r>
              <w:rPr>
                <w:rFonts w:ascii="Montserrat" w:hAnsi="Montserrat"/>
                <w:color w:val="FFFFFF"/>
                <w:sz w:val="18"/>
              </w:rPr>
              <w:t xml:space="preserve"> </w:t>
            </w:r>
            <w:r>
              <w:rPr>
                <w:rFonts w:ascii="Montserrat;sans-serif" w:hAnsi="Montserrat;sans-serif"/>
                <w:b/>
                <w:color w:val="FFFFFF"/>
                <w:sz w:val="18"/>
              </w:rPr>
              <w:t>VOTE FOR</w:t>
            </w:r>
            <w:r>
              <w:rPr>
                <w:rFonts w:ascii="Montserrat" w:hAnsi="Montserrat"/>
                <w:color w:val="FFFFFF"/>
                <w:sz w:val="18"/>
              </w:rPr>
              <w:t xml:space="preserve"> </w:t>
            </w:r>
            <w:r>
              <w:rPr>
                <w:rFonts w:ascii="Montserrat;Montserrat Medium;sans-serif" w:hAnsi="Montserrat;Montserrat Medium;sans-serif"/>
                <w:b/>
                <w:color w:val="FFFFFF"/>
                <w:sz w:val="18"/>
              </w:rPr>
              <w:t>this Proposal 2.</w:t>
            </w:r>
          </w:p>
        </w:tc>
      </w:tr>
      <w:tr>
        <w:trPr/>
        <w:tc>
          <w:tcPr>
            <w:tcW w:w="161" w:type="dxa"/>
            <w:tcBorders/>
            <w:shd w:fill="7855FA"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7855FA" w:val="clear"/>
            <w:tcMar>
              <w:top w:w="0" w:type="dxa"/>
              <w:left w:w="0" w:type="dxa"/>
              <w:bottom w:w="0" w:type="dxa"/>
              <w:right w:w="0" w:type="dxa"/>
            </w:tcMar>
            <w:vAlign w:val="center"/>
          </w:tcPr>
          <w:p>
            <w:pPr>
              <w:pStyle w:val="TableContents"/>
              <w:bidi w:val="0"/>
              <w:spacing w:before="0" w:after="283"/>
              <w:jc w:val="left"/>
              <w:rPr/>
            </w:pPr>
            <w:r>
              <w:rPr/>
              <w:t> </w:t>
            </w:r>
          </w:p>
        </w:tc>
        <w:tc>
          <w:tcPr>
            <w:tcW w:w="5491" w:type="dxa"/>
            <w:tcBorders/>
            <w:shd w:fill="7855FA"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Montserrat;sans-serif" w:hAnsi="Montserrat;sans-serif"/>
          <w:color w:val="000000"/>
          <w:sz w:val="18"/>
        </w:rPr>
      </w:pPr>
      <w:r>
        <w:rPr>
          <w:rFonts w:ascii="Montserrat;sans-serif" w:hAnsi="Montserrat;sans-serif"/>
          <w:color w:val="000000"/>
          <w:sz w:val="18"/>
        </w:rPr>
        <w:t>The Audit Committee has re-appointed Deloitte &amp; Touche LLP as our independent registered public accounting firm for the fiscal year ending July 31, 2027, and has further directed that management submit this selection for ratification by our stockholders at the Annual Meeting. Although ratification by our stockholders is not required by law, we have determined that it is good practice to request ratification of this selection by our stockholders. In the event that Deloitte &amp; Touche LLP is not ratified by our stockholders, the Audit Committee will review its future selection of Deloitte &amp; Touche LLP as our independent registered public accounting firm.</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Deloitte &amp; Touche LLP audited our financial statements for the fiscal years ended July 31, 2024, 2025, and 2026. Representatives of Deloitte &amp; Touche LLP are expected to be present during the Annual Meeting, where they will be available to respond to appropriate questions and, if they desire, to make a statement.</w:t>
      </w:r>
    </w:p>
    <w:p>
      <w:pPr>
        <w:pStyle w:val="TextBody"/>
        <w:bidi w:val="0"/>
        <w:spacing w:before="120" w:after="283"/>
        <w:jc w:val="both"/>
        <w:rPr>
          <w:rFonts w:ascii="Montserrat" w:hAnsi="Montserrat"/>
          <w:sz w:val="18"/>
        </w:rPr>
      </w:pPr>
      <w:r>
        <w:rPr>
          <w:rFonts w:ascii="Montserrat;sans-serif" w:hAnsi="Montserrat;sans-serif"/>
          <w:color w:val="000000"/>
          <w:sz w:val="18"/>
        </w:rPr>
        <w:t xml:space="preserve">Our Board is submitting this selection as a matter of good corporate governance and because we value our stockholders’ views on our independent registered public accounting firm. Neither our Amended and Restated Bylaws nor other governing documents or law require stockholder ratification of the selection of our independent registered public accounting firm. If the stockholders fail to ratify this selection, our Board will reconsider whether or not to retain that firm. Even if the selection is ratified, our Board may direct the appointment of different independent auditors at any time during the year if our Board determines that such a change would be in the best interests of our company and our stockholders. Our Board unanimously recommends a vote </w:t>
      </w:r>
      <w:r>
        <w:rPr>
          <w:rFonts w:ascii="Montserrat;Montserrat Medium;sans-serif" w:hAnsi="Montserrat;Montserrat Medium;sans-serif"/>
          <w:b/>
          <w:color w:val="000000"/>
          <w:sz w:val="18"/>
        </w:rPr>
        <w:t>FOR</w:t>
      </w:r>
      <w:r>
        <w:rPr>
          <w:rFonts w:ascii="Montserrat" w:hAnsi="Montserrat"/>
          <w:color w:val="000000"/>
          <w:sz w:val="18"/>
        </w:rPr>
        <w:t xml:space="preserve"> </w:t>
      </w:r>
      <w:r>
        <w:rPr>
          <w:rFonts w:ascii="Montserrat;sans-serif" w:hAnsi="Montserrat;sans-serif"/>
          <w:color w:val="000000"/>
          <w:sz w:val="18"/>
        </w:rPr>
        <w:t>the approval of the ratification of our auditor.</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Vote Required</w:t>
      </w:r>
    </w:p>
    <w:p>
      <w:pPr>
        <w:pStyle w:val="TextBody"/>
        <w:bidi w:val="0"/>
        <w:spacing w:before="120" w:after="283"/>
        <w:jc w:val="both"/>
        <w:rPr>
          <w:rFonts w:ascii="Montserrat" w:hAnsi="Montserrat"/>
          <w:sz w:val="18"/>
        </w:rPr>
      </w:pPr>
      <w:r>
        <w:rPr>
          <w:rFonts w:ascii="Montserrat;sans-serif" w:hAnsi="Montserrat;sans-serif"/>
          <w:color w:val="000000"/>
          <w:sz w:val="18"/>
        </w:rPr>
        <w:t xml:space="preserve">An affirmative vote from holders of a majority in voting power of the shares present at the Annual Meeting or represented by proxy and entitled to vote on the proposal will be required to ratify the selection of Deloitte &amp; Touche LLP. Abstentions will have the effect of a vote </w:t>
      </w:r>
      <w:r>
        <w:rPr>
          <w:rFonts w:ascii="Montserrat;Montserrat Medium;sans-serif" w:hAnsi="Montserrat;Montserrat Medium;sans-serif"/>
          <w:b/>
          <w:color w:val="000000"/>
          <w:sz w:val="18"/>
        </w:rPr>
        <w:t>AGAINST</w:t>
      </w:r>
      <w:r>
        <w:rPr>
          <w:rFonts w:ascii="Montserrat" w:hAnsi="Montserrat"/>
          <w:color w:val="000000"/>
          <w:sz w:val="18"/>
        </w:rPr>
        <w:t xml:space="preserve"> </w:t>
      </w:r>
      <w:r>
        <w:rPr>
          <w:rFonts w:ascii="Montserrat;sans-serif" w:hAnsi="Montserrat;sans-serif"/>
          <w:color w:val="000000"/>
          <w:sz w:val="18"/>
        </w:rPr>
        <w:t>the proposal. Because this is a routine proposal, we do not expect any broker non-votes on this proposal.</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Principal Accountant Fees and Services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following table provides the aggregate fees for services provided by Deloitte &amp; Touche LLP for the fiscal years ended July 31, 2025 and 2026.</w:t>
      </w:r>
    </w:p>
    <w:p>
      <w:pPr>
        <w:pStyle w:val="TextBody"/>
        <w:bidi w:val="0"/>
        <w:jc w:val="both"/>
        <w:rPr/>
      </w:pPr>
      <w:r>
        <w:rPr/>
        <w:t> </w:t>
      </w:r>
    </w:p>
    <w:tbl>
      <w:tblPr>
        <w:tblW w:w="5264" w:type="dxa"/>
        <w:jc w:val="left"/>
        <w:tblInd w:w="0" w:type="dxa"/>
        <w:tblLayout w:type="fixed"/>
        <w:tblCellMar>
          <w:top w:w="28" w:type="dxa"/>
          <w:left w:w="28" w:type="dxa"/>
          <w:bottom w:w="28" w:type="dxa"/>
          <w:right w:w="28" w:type="dxa"/>
        </w:tblCellMar>
      </w:tblPr>
      <w:tblGrid>
        <w:gridCol w:w="2111"/>
        <w:gridCol w:w="146"/>
        <w:gridCol w:w="146"/>
        <w:gridCol w:w="1066"/>
        <w:gridCol w:w="146"/>
        <w:gridCol w:w="146"/>
        <w:gridCol w:w="146"/>
        <w:gridCol w:w="1066"/>
        <w:gridCol w:w="291"/>
      </w:tblGrid>
      <w:tr>
        <w:trPr/>
        <w:tc>
          <w:tcPr>
            <w:tcW w:w="2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6" w:type="dxa"/>
            <w:gridSpan w:val="6"/>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b/>
                <w:color w:val="7855FA"/>
                <w:sz w:val="17"/>
              </w:rPr>
            </w:pPr>
            <w:r>
              <w:rPr>
                <w:rFonts w:ascii="Montserrat;sans-serif" w:hAnsi="Montserrat;sans-serif"/>
                <w:b/>
                <w:color w:val="7855FA"/>
                <w:sz w:val="17"/>
              </w:rPr>
              <w:t>Fiscal Year Ended July 31,</w:t>
            </w:r>
          </w:p>
        </w:tc>
        <w:tc>
          <w:tcPr>
            <w:tcW w:w="29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Montserrat Medium;sans-serif" w:hAnsi="Montserrat;Montserrat Medium;sans-serif"/>
                <w:b/>
                <w:color w:val="7855FA"/>
                <w:sz w:val="17"/>
              </w:rPr>
            </w:pPr>
            <w:r>
              <w:rPr>
                <w:rFonts w:ascii="Montserrat;Montserrat Medium;sans-serif" w:hAnsi="Montserrat;Montserrat Medium;sans-serif"/>
                <w:b/>
                <w:color w:val="7855FA"/>
                <w:sz w:val="17"/>
              </w:rPr>
              <w:t>2025</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Montserrat Medium;sans-serif" w:hAnsi="Montserrat;Montserrat Medium;sans-serif"/>
                <w:b/>
                <w:color w:val="7855FA"/>
                <w:sz w:val="17"/>
              </w:rPr>
            </w:pPr>
            <w:r>
              <w:rPr>
                <w:rFonts w:ascii="Montserrat;Montserrat Medium;sans-serif" w:hAnsi="Montserrat;Montserrat Medium;sans-serif"/>
                <w:b/>
                <w:color w:val="7855FA"/>
                <w:sz w:val="17"/>
              </w:rPr>
              <w:t>2026</w:t>
              <w:b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11" w:type="dxa"/>
            <w:tcBorders>
              <w:bottom w:val="single" w:sz="4" w:space="0" w:color="594DF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594DFF"/>
            </w:tcBorders>
            <w:shd w:fill="FFFFFF" w:val="clear"/>
            <w:tcMar>
              <w:top w:w="0" w:type="dxa"/>
              <w:left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594DF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94DFF"/>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594DFF"/>
            </w:tcBorders>
            <w:shd w:fill="FFFFFF" w:val="clear"/>
            <w:tcMar>
              <w:top w:w="0" w:type="dxa"/>
              <w:left w:w="0" w:type="dxa"/>
              <w:right w:w="0" w:type="dxa"/>
            </w:tcMar>
            <w:vAlign w:val="center"/>
          </w:tcPr>
          <w:p>
            <w:pPr>
              <w:pStyle w:val="TableContents"/>
              <w:bidi w:val="0"/>
              <w:spacing w:before="0" w:after="283"/>
              <w:jc w:val="right"/>
              <w:rPr/>
            </w:pPr>
            <w:r>
              <w:rPr/>
              <w:t> </w:t>
            </w:r>
          </w:p>
        </w:tc>
        <w:tc>
          <w:tcPr>
            <w:tcW w:w="1212" w:type="dxa"/>
            <w:gridSpan w:val="2"/>
            <w:tcBorders>
              <w:bottom w:val="single" w:sz="4" w:space="0" w:color="594DFF"/>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594DFF"/>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2111"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ind w:left="100" w:right="0" w:firstLine="100"/>
              <w:jc w:val="left"/>
              <w:rPr>
                <w:rFonts w:ascii="Montserrat Medium;sans-serif" w:hAnsi="Montserrat Medium;sans-serif"/>
                <w:sz w:val="17"/>
              </w:rPr>
            </w:pPr>
            <w:r>
              <w:rPr>
                <w:rFonts w:ascii="Montserrat;Montserrat Medium;sans-serif" w:hAnsi="Montserrat;Montserrat Medium;sans-serif"/>
                <w:b/>
                <w:color w:val="000000"/>
                <w:sz w:val="17"/>
              </w:rPr>
              <w:t>Audit fees</w:t>
            </w:r>
            <w:r>
              <w:rPr>
                <w:rFonts w:ascii="Montserrat;Montserrat Medium;sans-serif" w:hAnsi="Montserrat;Montserrat Medium;sans-serif"/>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4,395,000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4,465,000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11"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ind w:left="100" w:right="0" w:firstLine="100"/>
              <w:jc w:val="left"/>
              <w:rPr>
                <w:rFonts w:ascii="Montserrat Medium;sans-serif" w:hAnsi="Montserrat Medium;sans-serif"/>
                <w:sz w:val="17"/>
              </w:rPr>
            </w:pPr>
            <w:r>
              <w:rPr>
                <w:rFonts w:ascii="Montserrat;Montserrat Medium;sans-serif" w:hAnsi="Montserrat;Montserrat Medium;sans-serif"/>
                <w:b/>
                <w:color w:val="000000"/>
                <w:sz w:val="17"/>
              </w:rPr>
              <w:t>Audit-related fees</w:t>
            </w:r>
            <w:r>
              <w:rPr>
                <w:rFonts w:ascii="Montserrat;Montserrat Medium;sans-serif" w:hAnsi="Montserrat;Montserrat Medium;sans-serif"/>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11"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ind w:left="100" w:right="0" w:firstLine="100"/>
              <w:jc w:val="left"/>
              <w:rPr>
                <w:rFonts w:ascii="Montserrat Medium;sans-serif" w:hAnsi="Montserrat Medium;sans-serif"/>
                <w:sz w:val="17"/>
              </w:rPr>
            </w:pPr>
            <w:r>
              <w:rPr>
                <w:rFonts w:ascii="Montserrat;Montserrat Medium;sans-serif" w:hAnsi="Montserrat;Montserrat Medium;sans-serif"/>
                <w:b/>
                <w:color w:val="000000"/>
                <w:sz w:val="17"/>
              </w:rPr>
              <w:t>Tax fees</w:t>
            </w:r>
            <w:r>
              <w:rPr>
                <w:rFonts w:ascii="Montserrat;Montserrat Medium;sans-serif" w:hAnsi="Montserrat;Montserrat Medium;sans-serif"/>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701,771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860,418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11"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ind w:left="100" w:right="0" w:firstLine="100"/>
              <w:jc w:val="left"/>
              <w:rPr>
                <w:rFonts w:ascii="Montserrat Medium;sans-serif" w:hAnsi="Montserrat Medium;sans-serif"/>
                <w:sz w:val="17"/>
              </w:rPr>
            </w:pPr>
            <w:r>
              <w:rPr>
                <w:rFonts w:ascii="Montserrat;Montserrat Medium;sans-serif" w:hAnsi="Montserrat;Montserrat Medium;sans-serif"/>
                <w:b/>
                <w:color w:val="000000"/>
                <w:sz w:val="17"/>
              </w:rPr>
              <w:t>All other fees</w:t>
            </w:r>
            <w:r>
              <w:rPr>
                <w:rFonts w:ascii="Montserrat;Montserrat Medium;sans-serif" w:hAnsi="Montserrat;Montserrat Medium;sans-serif"/>
                <w:b/>
                <w:color w:val="000000"/>
                <w:sz w:val="11"/>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38,769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11"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sans-serif" w:hAnsi="Montserrat;sans-serif"/>
                <w:b/>
                <w:color w:val="7855FA"/>
                <w:sz w:val="17"/>
              </w:rPr>
            </w:pPr>
            <w:r>
              <w:rPr>
                <w:rFonts w:ascii="Montserrat;sans-serif" w:hAnsi="Montserrat;sans-serif"/>
                <w:b/>
                <w:color w:val="7855FA"/>
                <w:sz w:val="17"/>
              </w:rPr>
              <w:t>TOTAL FEES</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b/>
                <w:color w:val="7855FA"/>
                <w:sz w:val="17"/>
              </w:rPr>
            </w:pPr>
            <w:r>
              <w:rPr>
                <w:rFonts w:ascii="Montserrat;sans-serif" w:hAnsi="Montserrat;sans-serif"/>
                <w:b/>
                <w:color w:val="7855FA"/>
                <w:sz w:val="17"/>
              </w:rPr>
              <w:t>5,135,540</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b/>
                <w:color w:val="7855FA"/>
                <w:sz w:val="17"/>
              </w:rPr>
            </w:pPr>
            <w:r>
              <w:rPr>
                <w:rFonts w:ascii="Montserrat;sans-serif" w:hAnsi="Montserrat;sans-serif"/>
                <w:b/>
                <w:color w:val="7855FA"/>
                <w:sz w:val="17"/>
              </w:rPr>
              <w:t>5,325,418</w:t>
            </w:r>
          </w:p>
        </w:tc>
        <w:tc>
          <w:tcPr>
            <w:tcW w:w="29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Montserrat;sans-serif" w:hAnsi="Montserrat;sans-serif"/>
          <w:color w:val="000000"/>
          <w:sz w:val="16"/>
        </w:rPr>
      </w:pPr>
      <w:r>
        <w:rPr>
          <w:rFonts w:ascii="Montserrat;sans-serif" w:hAnsi="Montserrat;sans-serif"/>
          <w:color w:val="000000"/>
          <w:sz w:val="16"/>
        </w:rPr>
        <w:t>(1)</w:t>
      </w:r>
    </w:p>
    <w:p>
      <w:pPr>
        <w:pStyle w:val="TextBody"/>
        <w:bidi w:val="0"/>
        <w:jc w:val="both"/>
        <w:rPr>
          <w:rFonts w:ascii="Montserrat;sans-serif" w:hAnsi="Montserrat;sans-serif"/>
          <w:color w:val="000000"/>
          <w:sz w:val="16"/>
        </w:rPr>
      </w:pPr>
      <w:r>
        <w:rPr>
          <w:rFonts w:ascii="Montserrat;sans-serif" w:hAnsi="Montserrat;sans-serif"/>
          <w:color w:val="000000"/>
          <w:sz w:val="16"/>
        </w:rPr>
        <w:t>Consists of fees billed for professional services rendered in connection with the audit of our consolidated financial statements, including audited financial statements presented in our Annual Report on Form 10-K, review of the interim consolidated financial statements included in our quarterly reports, and services normally provided in connection with regulatory filings.</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301"/>
        <w:gridCol w:w="2671"/>
      </w:tblGrid>
      <w:tr>
        <w:trPr/>
        <w:tc>
          <w:tcPr>
            <w:tcW w:w="30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34</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145"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34" descr=""/>
                          <pic:cNvPicPr>
                            <a:picLocks noChangeAspect="1" noChangeArrowheads="1"/>
                          </pic:cNvPicPr>
                        </pic:nvPicPr>
                        <pic:blipFill>
                          <a:blip r:embed="rId138"/>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rFonts w:ascii="Montserrat;sans-serif" w:hAnsi="Montserrat;sans-serif"/>
          <w:color w:val="000000"/>
          <w:sz w:val="13"/>
        </w:rPr>
      </w:pPr>
      <w:r>
        <w:rPr>
          <w:rFonts w:ascii="Montserrat;sans-serif" w:hAnsi="Montserrat;sans-serif"/>
          <w:color w:val="000000"/>
          <w:sz w:val="13"/>
        </w:rPr>
        <w:t>Audit Committee Matters</w:t>
      </w:r>
    </w:p>
    <w:p>
      <w:pPr>
        <w:pStyle w:val="TextBody"/>
        <w:bidi w:val="0"/>
        <w:spacing w:before="60" w:after="283"/>
        <w:jc w:val="right"/>
        <w:rPr>
          <w:rFonts w:ascii="Montserrat;sans-serif" w:hAnsi="Montserrat;sans-serif"/>
          <w:color w:val="000000"/>
          <w:sz w:val="12"/>
        </w:rPr>
      </w:pPr>
      <w:r>
        <w:rPr>
          <w:rFonts w:ascii="Montserrat;sans-serif" w:hAnsi="Montserrat;sans-serif"/>
          <w:color w:val="000000"/>
          <w:sz w:val="12"/>
        </w:rPr>
        <w:t>Report of the Audit Committee</w:t>
      </w:r>
    </w:p>
    <w:p>
      <w:pPr>
        <w:pStyle w:val="TextBody"/>
        <w:bidi w:val="0"/>
        <w:jc w:val="right"/>
        <w:rPr/>
      </w:pPr>
      <w:r>
        <w:rPr/>
        <w:t> </w:t>
      </w:r>
    </w:p>
    <w:p>
      <w:pPr>
        <w:pStyle w:val="TextBody"/>
        <w:bidi w:val="0"/>
        <w:jc w:val="right"/>
        <w:rPr/>
      </w:pPr>
      <w:r>
        <w:rPr/>
        <w:t> </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(2)</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Consists of fees billed for assurance and related services that are reasonably related to the performance of the audit or review of our consolidated financial statements and are not reported under “Audit fees.”</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(3)</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Consists of fees billed for professional services for tax compliance, tax advice, and tax planning. These services include assistance regarding federal, state, and international tax compliance.</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(4)</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Consists of fees outside of the categories noted above.</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Pre-Approval Policies and Procedures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Consistent with the requirements of the SEC and the Public Company Accounting Oversight Board (“PCAOB”) regarding auditor independence, the Audit Committee has responsibility for appointing, setting compensation, retaining and overseeing the work of our independent registered public accounting firm. In recognition of this responsibility, the Audit Committee has adopted a policy and procedures for the pre-approval of audit and non-audit services rendered by our independent registered public accounting firm, Deloitte &amp; Touche LLP.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All of the services provided by Deloitte &amp; Touche LLP for the fiscal years ended July 31, 2025 and 2026 described above were pre-approved by the Audit Committee. The Audit Committee has determined that the rendering of services other than audit services by Deloitte &amp; Touche LLP is compatible with maintaining the principal accountant’s independence.</w:t>
      </w:r>
    </w:p>
    <w:p>
      <w:pPr>
        <w:pStyle w:val="Heading2"/>
        <w:bidi w:val="0"/>
        <w:spacing w:before="360" w:after="283"/>
        <w:jc w:val="left"/>
        <w:rPr>
          <w:rFonts w:ascii="Montserrat;sans-serif" w:hAnsi="Montserrat;sans-serif"/>
          <w:color w:val="7855FA"/>
          <w:sz w:val="28"/>
        </w:rPr>
      </w:pPr>
      <w:bookmarkStart w:id="15" w:name="report_of_the_audit_committee"/>
      <w:bookmarkEnd w:id="15"/>
      <w:r>
        <w:rPr>
          <w:rFonts w:ascii="Montserrat;sans-serif" w:hAnsi="Montserrat;sans-serif"/>
          <w:color w:val="7855FA"/>
          <w:sz w:val="28"/>
        </w:rPr>
        <w:t>Report of the Audit Committee</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Audit Committee has reviewed and discussed the audited financial statements for the fiscal year ended July 31, 2026 with the management of Nutanix. The Audit Committee has discussed with Nutanix’s independent registered public accounting firm, Deloitte &amp; Touche LLP, the matters required to be discussed by the applicable requirements of the PCAOB and the SEC. The Audit Committee has also received the written disclosures and the letter from its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our Board that the audited financial statements be included in Nutanix’s Annual Report on Form 10-K for the fiscal year ended July 31, 2026.</w:t>
      </w:r>
    </w:p>
    <w:p>
      <w:pPr>
        <w:pStyle w:val="TextBody"/>
        <w:bidi w:val="0"/>
        <w:spacing w:before="360" w:after="283"/>
        <w:ind w:left="245" w:right="0" w:hanging="0"/>
        <w:jc w:val="left"/>
        <w:rPr>
          <w:rFonts w:ascii="Montserrat;sans-serif" w:hAnsi="Montserrat;sans-serif"/>
          <w:b/>
          <w:color w:val="7855FA"/>
          <w:sz w:val="20"/>
        </w:rPr>
      </w:pPr>
      <w:r>
        <w:rPr>
          <w:rFonts w:ascii="Montserrat;sans-serif" w:hAnsi="Montserrat;sans-serif"/>
          <w:b/>
          <w:color w:val="7855FA"/>
          <w:sz w:val="20"/>
        </w:rPr>
        <w:t>The Audit Committee</w:t>
      </w:r>
    </w:p>
    <w:p>
      <w:pPr>
        <w:pStyle w:val="TextBody"/>
        <w:bidi w:val="0"/>
        <w:ind w:left="245" w:right="0" w:hanging="0"/>
        <w:jc w:val="both"/>
        <w:rPr>
          <w:rFonts w:ascii="Montserrat;sans-serif" w:hAnsi="Montserrat;sans-serif"/>
          <w:color w:val="000000"/>
          <w:sz w:val="18"/>
        </w:rPr>
      </w:pPr>
      <w:r>
        <w:rPr>
          <w:rFonts w:ascii="Montserrat;sans-serif" w:hAnsi="Montserrat;sans-serif"/>
          <w:color w:val="000000"/>
          <w:sz w:val="18"/>
        </w:rPr>
        <w:t>Eric K. Brandt (Chair)</w:t>
      </w:r>
    </w:p>
    <w:p>
      <w:pPr>
        <w:pStyle w:val="TextBody"/>
        <w:bidi w:val="0"/>
        <w:ind w:left="245" w:right="0" w:hanging="0"/>
        <w:jc w:val="both"/>
        <w:rPr>
          <w:rFonts w:ascii="Montserrat;sans-serif" w:hAnsi="Montserrat;sans-serif"/>
          <w:color w:val="000000"/>
          <w:sz w:val="18"/>
        </w:rPr>
      </w:pPr>
      <w:r>
        <w:rPr>
          <w:rFonts w:ascii="Montserrat;sans-serif" w:hAnsi="Montserrat;sans-serif"/>
          <w:color w:val="000000"/>
          <w:sz w:val="18"/>
        </w:rPr>
        <w:t>Steven J. Gomo</w:t>
      </w:r>
    </w:p>
    <w:p>
      <w:pPr>
        <w:pStyle w:val="TextBody"/>
        <w:bidi w:val="0"/>
        <w:ind w:left="245" w:right="0" w:hanging="0"/>
        <w:jc w:val="both"/>
        <w:rPr>
          <w:rFonts w:ascii="Montserrat;sans-serif" w:hAnsi="Montserrat;sans-serif"/>
          <w:color w:val="000000"/>
          <w:sz w:val="18"/>
        </w:rPr>
      </w:pPr>
      <w:r>
        <w:rPr>
          <w:rFonts w:ascii="Montserrat;sans-serif" w:hAnsi="Montserrat;sans-serif"/>
          <w:color w:val="000000"/>
          <w:sz w:val="18"/>
        </w:rPr>
        <w:t>Max de Groen</w:t>
      </w:r>
    </w:p>
    <w:p>
      <w:pPr>
        <w:pStyle w:val="TextBody"/>
        <w:bidi w:val="0"/>
        <w:ind w:left="245" w:right="0" w:hanging="0"/>
        <w:jc w:val="both"/>
        <w:rPr>
          <w:rFonts w:ascii="Montserrat;sans-serif" w:hAnsi="Montserrat;sans-serif"/>
          <w:color w:val="000000"/>
          <w:sz w:val="18"/>
        </w:rPr>
      </w:pPr>
      <w:r>
        <w:rPr>
          <w:rFonts w:ascii="Montserrat;sans-serif" w:hAnsi="Montserrat;sans-serif"/>
          <w:color w:val="000000"/>
          <w:sz w:val="18"/>
        </w:rPr>
        <w:t>Gayle Sheppard</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material in this report is not “soliciting material,” is not deemed “filed” with the SEC, and is not to be incorporated by reference in any filing by Nutanix under the Securities Act of 1933, as amended, or the Exchange Act, whether made before or after the date hereof and irrespective of any general incorporation language in any such filing.</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2641"/>
        <w:gridCol w:w="331"/>
      </w:tblGrid>
      <w:tr>
        <w:trPr/>
        <w:tc>
          <w:tcPr>
            <w:tcW w:w="26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146"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35" descr=""/>
                          <pic:cNvPicPr>
                            <a:picLocks noChangeAspect="1" noChangeArrowheads="1"/>
                          </pic:cNvPicPr>
                        </pic:nvPicPr>
                        <pic:blipFill>
                          <a:blip r:embed="rId139"/>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3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35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Heading1"/>
        <w:bidi w:val="0"/>
        <w:jc w:val="left"/>
        <w:rPr>
          <w:rFonts w:ascii="Montserrat;sans-serif" w:hAnsi="Montserrat;sans-serif"/>
          <w:color w:val="000000"/>
          <w:sz w:val="56"/>
        </w:rPr>
      </w:pPr>
      <w:bookmarkStart w:id="16" w:name="executive_officers"/>
      <w:bookmarkEnd w:id="16"/>
      <w:r>
        <w:rPr>
          <w:rFonts w:ascii="Montserrat;sans-serif" w:hAnsi="Montserrat;sans-serif"/>
          <w:color w:val="000000"/>
          <w:sz w:val="56"/>
        </w:rPr>
        <w:t>Executive Officers</w:t>
      </w:r>
    </w:p>
    <w:p>
      <w:pPr>
        <w:pStyle w:val="TextBody"/>
        <w:bidi w:val="0"/>
        <w:spacing w:before="480" w:after="283"/>
        <w:jc w:val="both"/>
        <w:rPr>
          <w:rFonts w:ascii="Montserrat;sans-serif" w:hAnsi="Montserrat;sans-serif"/>
          <w:color w:val="000000"/>
          <w:sz w:val="18"/>
        </w:rPr>
      </w:pPr>
      <w:r>
        <w:rPr>
          <w:rFonts w:ascii="Montserrat;sans-serif" w:hAnsi="Montserrat;sans-serif"/>
          <w:color w:val="000000"/>
          <w:sz w:val="18"/>
        </w:rPr>
        <w:t>The following is biographical information for our current executive officers as of the date of this proxy statement:</w:t>
      </w:r>
    </w:p>
    <w:p>
      <w:pPr>
        <w:pStyle w:val="TextBody"/>
        <w:bidi w:val="0"/>
        <w:jc w:val="both"/>
        <w:rPr/>
      </w:pPr>
      <w:r>
        <w:rPr/>
        <w:t> </w:t>
      </w:r>
    </w:p>
    <w:tbl>
      <w:tblPr>
        <w:tblW w:w="4818" w:type="dxa"/>
        <w:jc w:val="left"/>
        <w:tblInd w:w="0" w:type="dxa"/>
        <w:tblLayout w:type="fixed"/>
        <w:tblCellMar>
          <w:top w:w="28" w:type="dxa"/>
          <w:left w:w="28" w:type="dxa"/>
          <w:bottom w:w="28" w:type="dxa"/>
          <w:right w:w="28" w:type="dxa"/>
        </w:tblCellMar>
      </w:tblPr>
      <w:tblGrid>
        <w:gridCol w:w="2116"/>
        <w:gridCol w:w="496"/>
        <w:gridCol w:w="2206"/>
      </w:tblGrid>
      <w:tr>
        <w:trPr/>
        <w:tc>
          <w:tcPr>
            <w:tcW w:w="211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2116" w:type="dxa"/>
            <w:tcBorders>
              <w:bottom w:val="single" w:sz="4" w:space="0" w:color="7855FA"/>
            </w:tcBorders>
            <w:tcMar>
              <w:top w:w="0" w:type="dxa"/>
              <w:left w:w="0" w:type="dxa"/>
              <w:right w:w="0" w:type="dxa"/>
            </w:tcMar>
            <w:vAlign w:val="center"/>
          </w:tcPr>
          <w:p>
            <w:pPr>
              <w:pStyle w:val="TableContents"/>
              <w:bidi w:val="0"/>
              <w:spacing w:before="40" w:after="40"/>
              <w:jc w:val="left"/>
              <w:rPr>
                <w:rFonts w:ascii="Montserrat;sans-serif" w:hAnsi="Montserrat;sans-serif"/>
                <w:b/>
                <w:color w:val="7855FA"/>
                <w:sz w:val="18"/>
              </w:rPr>
            </w:pPr>
            <w:r>
              <w:rPr>
                <w:rFonts w:ascii="Montserrat;sans-serif" w:hAnsi="Montserrat;sans-serif"/>
                <w:b/>
                <w:color w:val="7855FA"/>
                <w:sz w:val="18"/>
              </w:rPr>
              <w:t>Name</w:t>
            </w:r>
          </w:p>
        </w:tc>
        <w:tc>
          <w:tcPr>
            <w:tcW w:w="496" w:type="dxa"/>
            <w:tcBorders>
              <w:bottom w:val="single" w:sz="4" w:space="0" w:color="7855FA"/>
            </w:tcBorders>
            <w:tcMar>
              <w:top w:w="0" w:type="dxa"/>
              <w:left w:w="0" w:type="dxa"/>
              <w:right w:w="0" w:type="dxa"/>
            </w:tcMar>
            <w:vAlign w:val="center"/>
          </w:tcPr>
          <w:p>
            <w:pPr>
              <w:pStyle w:val="TableContents"/>
              <w:bidi w:val="0"/>
              <w:spacing w:before="40" w:after="40"/>
              <w:jc w:val="center"/>
              <w:rPr>
                <w:rFonts w:ascii="Montserrat;sans-serif" w:hAnsi="Montserrat;sans-serif"/>
                <w:b/>
                <w:color w:val="7855FA"/>
                <w:sz w:val="18"/>
              </w:rPr>
            </w:pPr>
            <w:r>
              <w:rPr>
                <w:rFonts w:ascii="Montserrat;sans-serif" w:hAnsi="Montserrat;sans-serif"/>
                <w:b/>
                <w:color w:val="7855FA"/>
                <w:sz w:val="18"/>
              </w:rPr>
              <w:t>Age</w:t>
            </w:r>
          </w:p>
        </w:tc>
        <w:tc>
          <w:tcPr>
            <w:tcW w:w="2206" w:type="dxa"/>
            <w:tcBorders>
              <w:bottom w:val="single" w:sz="4" w:space="0" w:color="7855FA"/>
            </w:tcBorders>
            <w:tcMar>
              <w:top w:w="0" w:type="dxa"/>
              <w:left w:w="0" w:type="dxa"/>
              <w:right w:w="0" w:type="dxa"/>
            </w:tcMar>
            <w:vAlign w:val="center"/>
          </w:tcPr>
          <w:p>
            <w:pPr>
              <w:pStyle w:val="TableContents"/>
              <w:bidi w:val="0"/>
              <w:spacing w:before="40" w:after="40"/>
              <w:jc w:val="left"/>
              <w:rPr>
                <w:rFonts w:ascii="Montserrat;sans-serif" w:hAnsi="Montserrat;sans-serif"/>
                <w:b/>
                <w:color w:val="7855FA"/>
                <w:sz w:val="18"/>
              </w:rPr>
            </w:pPr>
            <w:r>
              <w:rPr>
                <w:rFonts w:ascii="Montserrat;sans-serif" w:hAnsi="Montserrat;sans-serif"/>
                <w:b/>
                <w:color w:val="7855FA"/>
                <w:sz w:val="18"/>
              </w:rPr>
              <w:t>Position/Office</w:t>
            </w:r>
          </w:p>
        </w:tc>
      </w:tr>
      <w:tr>
        <w:trPr/>
        <w:tc>
          <w:tcPr>
            <w:tcW w:w="2116" w:type="dxa"/>
            <w:tcBorders>
              <w:bottom w:val="single" w:sz="4" w:space="0" w:color="000000"/>
            </w:tcBorders>
            <w:tcMar>
              <w:top w:w="0" w:type="dxa"/>
              <w:left w:w="0" w:type="dxa"/>
              <w:right w:w="0" w:type="dxa"/>
            </w:tcMar>
            <w:vAlign w:val="center"/>
          </w:tcPr>
          <w:p>
            <w:pPr>
              <w:pStyle w:val="TableContents"/>
              <w:bidi w:val="0"/>
              <w:spacing w:before="40" w:after="40"/>
              <w:jc w:val="left"/>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Rajiv Ramaswami</w:t>
            </w:r>
          </w:p>
        </w:tc>
        <w:tc>
          <w:tcPr>
            <w:tcW w:w="496" w:type="dxa"/>
            <w:tcBorders>
              <w:bottom w:val="single" w:sz="4" w:space="0" w:color="000000"/>
            </w:tcBorders>
            <w:tcMar>
              <w:top w:w="0" w:type="dxa"/>
              <w:left w:w="0" w:type="dxa"/>
              <w:right w:w="0" w:type="dxa"/>
            </w:tcMar>
            <w:vAlign w:val="center"/>
          </w:tcPr>
          <w:p>
            <w:pPr>
              <w:pStyle w:val="TableContents"/>
              <w:bidi w:val="0"/>
              <w:spacing w:before="40" w:after="40"/>
              <w:jc w:val="center"/>
              <w:rPr>
                <w:rFonts w:ascii="Montserrat;sans-serif" w:hAnsi="Montserrat;sans-serif"/>
                <w:color w:val="000000"/>
                <w:sz w:val="18"/>
              </w:rPr>
            </w:pPr>
            <w:r>
              <w:rPr>
                <w:rFonts w:ascii="Montserrat;sans-serif" w:hAnsi="Montserrat;sans-serif"/>
                <w:color w:val="000000"/>
                <w:sz w:val="18"/>
              </w:rPr>
              <w:t>60</w:t>
            </w:r>
          </w:p>
        </w:tc>
        <w:tc>
          <w:tcPr>
            <w:tcW w:w="2206" w:type="dxa"/>
            <w:tcBorders>
              <w:bottom w:val="single" w:sz="4" w:space="0" w:color="000000"/>
            </w:tcBorders>
            <w:tcMar>
              <w:top w:w="0" w:type="dxa"/>
              <w:left w:w="0" w:type="dxa"/>
              <w:right w:w="0" w:type="dxa"/>
            </w:tcMar>
            <w:vAlign w:val="center"/>
          </w:tcPr>
          <w:p>
            <w:pPr>
              <w:pStyle w:val="TableContents"/>
              <w:bidi w:val="0"/>
              <w:spacing w:before="40" w:after="40"/>
              <w:jc w:val="left"/>
              <w:rPr>
                <w:rFonts w:ascii="Montserrat;sans-serif" w:hAnsi="Montserrat;sans-serif"/>
                <w:color w:val="000000"/>
                <w:sz w:val="18"/>
              </w:rPr>
            </w:pPr>
            <w:r>
              <w:rPr>
                <w:rFonts w:ascii="Montserrat;sans-serif" w:hAnsi="Montserrat;sans-serif"/>
                <w:color w:val="000000"/>
                <w:sz w:val="18"/>
              </w:rPr>
              <w:t>Chief Executive Officer</w:t>
            </w:r>
          </w:p>
        </w:tc>
      </w:tr>
      <w:tr>
        <w:trPr/>
        <w:tc>
          <w:tcPr>
            <w:tcW w:w="2116" w:type="dxa"/>
            <w:tcBorders>
              <w:bottom w:val="single" w:sz="4" w:space="0" w:color="000000"/>
            </w:tcBorders>
            <w:tcMar>
              <w:top w:w="0" w:type="dxa"/>
              <w:left w:w="0" w:type="dxa"/>
              <w:right w:w="0" w:type="dxa"/>
            </w:tcMar>
            <w:vAlign w:val="center"/>
          </w:tcPr>
          <w:p>
            <w:pPr>
              <w:pStyle w:val="TableContents"/>
              <w:bidi w:val="0"/>
              <w:spacing w:before="40" w:after="40"/>
              <w:jc w:val="left"/>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Rukmini Sivaraman</w:t>
            </w:r>
          </w:p>
        </w:tc>
        <w:tc>
          <w:tcPr>
            <w:tcW w:w="496" w:type="dxa"/>
            <w:tcBorders>
              <w:bottom w:val="single" w:sz="4" w:space="0" w:color="000000"/>
            </w:tcBorders>
            <w:tcMar>
              <w:top w:w="0" w:type="dxa"/>
              <w:left w:w="0" w:type="dxa"/>
              <w:right w:w="0" w:type="dxa"/>
            </w:tcMar>
            <w:vAlign w:val="center"/>
          </w:tcPr>
          <w:p>
            <w:pPr>
              <w:pStyle w:val="TableContents"/>
              <w:bidi w:val="0"/>
              <w:spacing w:before="40" w:after="40"/>
              <w:jc w:val="center"/>
              <w:rPr>
                <w:rFonts w:ascii="Montserrat;sans-serif" w:hAnsi="Montserrat;sans-serif"/>
                <w:color w:val="000000"/>
                <w:sz w:val="18"/>
              </w:rPr>
            </w:pPr>
            <w:r>
              <w:rPr>
                <w:rFonts w:ascii="Montserrat;sans-serif" w:hAnsi="Montserrat;sans-serif"/>
                <w:color w:val="000000"/>
                <w:sz w:val="18"/>
              </w:rPr>
              <w:t>45</w:t>
            </w:r>
          </w:p>
        </w:tc>
        <w:tc>
          <w:tcPr>
            <w:tcW w:w="2206" w:type="dxa"/>
            <w:tcBorders>
              <w:bottom w:val="single" w:sz="4" w:space="0" w:color="000000"/>
            </w:tcBorders>
            <w:tcMar>
              <w:top w:w="0" w:type="dxa"/>
              <w:left w:w="0" w:type="dxa"/>
              <w:right w:w="0" w:type="dxa"/>
            </w:tcMar>
            <w:vAlign w:val="center"/>
          </w:tcPr>
          <w:p>
            <w:pPr>
              <w:pStyle w:val="TableContents"/>
              <w:bidi w:val="0"/>
              <w:spacing w:before="40" w:after="40"/>
              <w:jc w:val="left"/>
              <w:rPr>
                <w:rFonts w:ascii="Montserrat;sans-serif" w:hAnsi="Montserrat;sans-serif"/>
                <w:color w:val="000000"/>
                <w:sz w:val="18"/>
              </w:rPr>
            </w:pPr>
            <w:r>
              <w:rPr>
                <w:rFonts w:ascii="Montserrat;sans-serif" w:hAnsi="Montserrat;sans-serif"/>
                <w:color w:val="000000"/>
                <w:sz w:val="18"/>
              </w:rPr>
              <w:t>Chief Financial Officer</w:t>
            </w:r>
          </w:p>
        </w:tc>
      </w:tr>
      <w:tr>
        <w:trPr/>
        <w:tc>
          <w:tcPr>
            <w:tcW w:w="2116" w:type="dxa"/>
            <w:tcBorders>
              <w:bottom w:val="single" w:sz="4" w:space="0" w:color="7855FA"/>
            </w:tcBorders>
            <w:tcMar>
              <w:top w:w="0" w:type="dxa"/>
              <w:left w:w="0" w:type="dxa"/>
              <w:right w:w="0" w:type="dxa"/>
            </w:tcMar>
            <w:vAlign w:val="center"/>
          </w:tcPr>
          <w:p>
            <w:pPr>
              <w:pStyle w:val="TableContents"/>
              <w:bidi w:val="0"/>
              <w:spacing w:before="40" w:after="40"/>
              <w:jc w:val="left"/>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Brian Martin</w:t>
            </w:r>
          </w:p>
        </w:tc>
        <w:tc>
          <w:tcPr>
            <w:tcW w:w="496" w:type="dxa"/>
            <w:tcBorders>
              <w:bottom w:val="single" w:sz="4" w:space="0" w:color="7855FA"/>
            </w:tcBorders>
            <w:tcMar>
              <w:top w:w="0" w:type="dxa"/>
              <w:left w:w="0" w:type="dxa"/>
              <w:right w:w="0" w:type="dxa"/>
            </w:tcMar>
            <w:vAlign w:val="center"/>
          </w:tcPr>
          <w:p>
            <w:pPr>
              <w:pStyle w:val="TableContents"/>
              <w:bidi w:val="0"/>
              <w:spacing w:before="40" w:after="40"/>
              <w:jc w:val="center"/>
              <w:rPr>
                <w:rFonts w:ascii="Montserrat;sans-serif" w:hAnsi="Montserrat;sans-serif"/>
                <w:color w:val="000000"/>
                <w:sz w:val="18"/>
              </w:rPr>
            </w:pPr>
            <w:r>
              <w:rPr>
                <w:rFonts w:ascii="Montserrat;sans-serif" w:hAnsi="Montserrat;sans-serif"/>
                <w:color w:val="000000"/>
                <w:sz w:val="18"/>
              </w:rPr>
              <w:t>64</w:t>
            </w:r>
          </w:p>
        </w:tc>
        <w:tc>
          <w:tcPr>
            <w:tcW w:w="2206" w:type="dxa"/>
            <w:tcBorders>
              <w:bottom w:val="single" w:sz="4" w:space="0" w:color="7855FA"/>
            </w:tcBorders>
            <w:tcMar>
              <w:top w:w="0" w:type="dxa"/>
              <w:left w:w="0" w:type="dxa"/>
              <w:right w:w="0" w:type="dxa"/>
            </w:tcMar>
            <w:vAlign w:val="center"/>
          </w:tcPr>
          <w:p>
            <w:pPr>
              <w:pStyle w:val="TableContents"/>
              <w:bidi w:val="0"/>
              <w:spacing w:before="40" w:after="40"/>
              <w:jc w:val="left"/>
              <w:rPr>
                <w:rFonts w:ascii="Montserrat;sans-serif" w:hAnsi="Montserrat;sans-serif"/>
                <w:color w:val="000000"/>
                <w:sz w:val="18"/>
              </w:rPr>
            </w:pPr>
            <w:r>
              <w:rPr>
                <w:rFonts w:ascii="Montserrat;sans-serif" w:hAnsi="Montserrat;sans-serif"/>
                <w:color w:val="000000"/>
                <w:sz w:val="18"/>
              </w:rPr>
              <w:t>Chief Legal Officer</w:t>
            </w:r>
          </w:p>
        </w:tc>
      </w:tr>
    </w:tbl>
    <w:p>
      <w:pPr>
        <w:pStyle w:val="TextBody"/>
        <w:bidi w:val="0"/>
        <w:jc w:val="both"/>
        <w:rPr/>
      </w:pPr>
      <w:r>
        <w:rPr/>
        <w:t> </w:t>
      </w:r>
    </w:p>
    <w:p>
      <w:pPr>
        <w:pStyle w:val="TextBody"/>
        <w:bidi w:val="0"/>
        <w:jc w:val="both"/>
        <w:rPr>
          <w:rFonts w:ascii="Montserrat;sans-serif" w:hAnsi="Montserrat;sans-serif"/>
          <w:color w:val="000000"/>
          <w:sz w:val="18"/>
        </w:rPr>
      </w:pPr>
      <w:r>
        <w:rPr>
          <w:rFonts w:ascii="Montserrat;sans-serif" w:hAnsi="Montserrat;sans-serif"/>
          <w:color w:val="000000"/>
          <w:sz w:val="18"/>
        </w:rPr>
        <w:t>Our Board chooses our executive officers, who then serve at our Board’s discretion. There are no family relationships among any of our directors or executive officers.</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Please refer to the section titled “</w:t>
      </w:r>
      <w:r>
        <w:rPr>
          <w:rFonts w:ascii="Montserrat;sans-serif" w:hAnsi="Montserrat;sans-serif"/>
          <w:color w:val="7855FA"/>
          <w:sz w:val="18"/>
        </w:rPr>
        <w:t>Proposal 1 – Election of Directors</w:t>
      </w:r>
      <w:r>
        <w:rPr>
          <w:rFonts w:ascii="Montserrat;sans-serif" w:hAnsi="Montserrat;sans-serif"/>
          <w:color w:val="000000"/>
          <w:sz w:val="18"/>
        </w:rPr>
        <w:t>” for Mr. Ramaswami’s biographical information.</w:t>
      </w:r>
    </w:p>
    <w:p>
      <w:pPr>
        <w:pStyle w:val="TextBody"/>
        <w:bidi w:val="0"/>
        <w:spacing w:before="120" w:after="283"/>
        <w:jc w:val="both"/>
        <w:rPr>
          <w:rFonts w:ascii="Montserrat;sans-serif" w:hAnsi="Montserrat;sans-serif"/>
          <w:sz w:val="18"/>
        </w:rPr>
      </w:pPr>
      <w:r>
        <w:rPr>
          <w:rFonts w:ascii="Montserrat;sans-serif" w:hAnsi="Montserrat;sans-serif"/>
          <w:b/>
          <w:color w:val="7855FA"/>
          <w:sz w:val="18"/>
        </w:rPr>
        <w:t>Rukmini Sivaraman</w:t>
      </w:r>
      <w:r>
        <w:rPr>
          <w:rFonts w:ascii="Montserrat;sans-serif" w:hAnsi="Montserrat;sans-serif"/>
          <w:color w:val="000000"/>
          <w:sz w:val="18"/>
        </w:rPr>
        <w:t xml:space="preserve"> has served as our Chief Financial Officer since May 2022. Ms. Sivaraman previously served as our Senior Vice President, FP&amp;A and Strategic Finance from January 2022 to May 2022. Prior to that, she served in various leadership roles at our company, including as Senior Vice President of Strategic Finance, Chief People Officer, and Senior Vice President of People and Business Operations. Prior to joining us, Ms. Sivaraman served as an investment banker at Goldman Sachs from June 2009 to March 2017. Ms. Sivaraman holds an M.B.A. from the Kellogg School of Management at Northwestern University and an M.S. in Electrical Engineering from the University of Michigan at Ann Arbor.</w:t>
      </w:r>
    </w:p>
    <w:p>
      <w:pPr>
        <w:pStyle w:val="TextBody"/>
        <w:bidi w:val="0"/>
        <w:spacing w:before="120" w:after="283"/>
        <w:jc w:val="both"/>
        <w:rPr>
          <w:rFonts w:ascii="Montserrat;sans-serif" w:hAnsi="Montserrat;sans-serif"/>
          <w:sz w:val="18"/>
        </w:rPr>
      </w:pPr>
      <w:r>
        <w:rPr>
          <w:rFonts w:ascii="Montserrat;sans-serif" w:hAnsi="Montserrat;sans-serif"/>
          <w:b/>
          <w:color w:val="7855FA"/>
          <w:sz w:val="18"/>
        </w:rPr>
        <w:t>Brian Martin</w:t>
      </w:r>
      <w:r>
        <w:rPr>
          <w:rFonts w:ascii="Montserrat;sans-serif" w:hAnsi="Montserrat;sans-serif"/>
          <w:color w:val="000000"/>
          <w:sz w:val="18"/>
        </w:rPr>
        <w:t xml:space="preserve"> has served as our Chief Legal Officer since June 2024. Prior to joining us, Mr. Martin served as Executive Vice President and General Counsel at Lyten, Inc., a supermaterial applications company, from July 2021 to May 2024. Prior to that, he served as Senior Vice President, General Counsel, and Secretary at Juniper Networks, Inc., a networking company, from October 2015 to July 2021. Mr. Martin also served as General Counsel of KLA Corporation (formerly known as KLA-Tencor Corporation), an equipment and services company for the electronics industry, from 2007 to September 2015, and spent ten years in senior legal positions earlier in his career at Sun Microsystems, Inc., a network computing infrastructure solutions company. Mr. Martin holds a B.S. in Economics from the University of Rochester and a J.D. from the State University of New York at Buffalo Law School.</w:t>
      </w:r>
    </w:p>
    <w:p>
      <w:pPr>
        <w:pStyle w:val="TextBody"/>
        <w:bidi w:val="0"/>
        <w:jc w:val="both"/>
        <w:rPr/>
      </w:pPr>
      <w:r>
        <w:rPr/>
        <w:t> </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301"/>
        <w:gridCol w:w="2671"/>
      </w:tblGrid>
      <w:tr>
        <w:trPr/>
        <w:tc>
          <w:tcPr>
            <w:tcW w:w="30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36</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147"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36" descr=""/>
                          <pic:cNvPicPr>
                            <a:picLocks noChangeAspect="1" noChangeArrowheads="1"/>
                          </pic:cNvPicPr>
                        </pic:nvPicPr>
                        <pic:blipFill>
                          <a:blip r:embed="rId140"/>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pPr>
      <w:r>
        <w:rPr/>
        <w:t> </w:t>
      </w:r>
    </w:p>
    <w:p>
      <w:pPr>
        <w:pStyle w:val="TextBody"/>
        <w:bidi w:val="0"/>
        <w:spacing w:before="60" w:after="283"/>
        <w:jc w:val="left"/>
        <w:rPr/>
      </w:pPr>
      <w:r>
        <w:rPr/>
        <w:t> </w:t>
      </w:r>
    </w:p>
    <w:p>
      <w:pPr>
        <w:pStyle w:val="TextBody"/>
        <w:bidi w:val="0"/>
        <w:jc w:val="both"/>
        <w:rPr/>
      </w:pPr>
      <w:r>
        <w:rPr/>
        <w:t> </w:t>
      </w:r>
    </w:p>
    <w:p>
      <w:pPr>
        <w:pStyle w:val="TextBody"/>
        <w:bidi w:val="0"/>
        <w:jc w:val="both"/>
        <w:rPr/>
      </w:pPr>
      <w:r>
        <w:rPr/>
        <w:t> </w:t>
      </w:r>
    </w:p>
    <w:p>
      <w:pPr>
        <w:pStyle w:val="Heading1"/>
        <w:bidi w:val="0"/>
        <w:spacing w:before="0" w:after="480"/>
        <w:jc w:val="left"/>
        <w:rPr>
          <w:rFonts w:ascii="Montserrat;sans-serif" w:hAnsi="Montserrat;sans-serif"/>
          <w:color w:val="000000"/>
          <w:sz w:val="56"/>
        </w:rPr>
      </w:pPr>
      <w:bookmarkStart w:id="17" w:name="executive_compensation"/>
      <w:bookmarkEnd w:id="17"/>
      <w:r>
        <w:rPr>
          <w:rFonts w:ascii="Montserrat;sans-serif" w:hAnsi="Montserrat;sans-serif"/>
          <w:color w:val="000000"/>
          <w:sz w:val="56"/>
        </w:rPr>
        <w:t>Executive Compensation</w:t>
      </w:r>
    </w:p>
    <w:p>
      <w:pPr>
        <w:pStyle w:val="Heading2"/>
        <w:bidi w:val="0"/>
        <w:jc w:val="left"/>
        <w:rPr>
          <w:rFonts w:ascii="Montserrat;sans-serif" w:hAnsi="Montserrat;sans-serif"/>
          <w:color w:val="7855FA"/>
          <w:sz w:val="28"/>
        </w:rPr>
      </w:pPr>
      <w:r>
        <w:rPr>
          <w:rFonts w:ascii="Montserrat;sans-serif" w:hAnsi="Montserrat;sans-serif"/>
          <w:color w:val="7855FA"/>
          <w:sz w:val="28"/>
        </w:rPr>
        <w:t>Letter From the Chair of the Compensation Committee</w:t>
      </w:r>
    </w:p>
    <w:p>
      <w:pPr>
        <w:pStyle w:val="Heading2"/>
        <w:bidi w:val="0"/>
        <w:spacing w:before="360" w:after="283"/>
        <w:jc w:val="left"/>
        <w:rPr>
          <w:rFonts w:ascii="Montserrat;sans-serif" w:hAnsi="Montserrat;sans-serif"/>
          <w:color w:val="000000"/>
          <w:sz w:val="24"/>
        </w:rPr>
      </w:pPr>
      <w:r>
        <w:rPr>
          <w:rFonts w:ascii="Montserrat;sans-serif" w:hAnsi="Montserrat;sans-serif"/>
          <w:color w:val="000000"/>
          <w:sz w:val="24"/>
        </w:rPr>
        <w:t>Dear Fellow Stockholders: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As Chair of the Compensation Committee, I lead the committee’s oversight of the compensation programs that help us attract, retain and motivate our leadership team to execute our strategy and create long-term stockholder value. In fiscal year 2025, we received approximately 92% support for our say-on-pay proposal. We believe this result reflects broad stockholder support for our executive compensation program. During fiscal year 2026, we continued to invest in our product portfolio, expand key partnerships and navigate increased hardware prices and supply-chain constraints affecting our customers. We also continued to expand our hybrid multicloud platform and AI-related offerings, including Nutanix Agentic AI, and support for external storage.</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We continued to evolve our executive compensation programs in fiscal year 2026. We updated our annual incentive plan metrics to balance our focus on growth and profitability. Executive compensation decisions continue to reflect both individual performance and market considerations. Despite increased hardware prices and supply-chain constraints affecting customers, we delivered 12% revenue growth and increased profitability in fiscal year 2026.</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Proposal 4 of this proxy statement seeks stockholder approval of an amendment to our Amended and Restated 2016 Equity Incentive Plan to increase the share reserve. In evaluating this request, the Compensation Committee considered our projected equity needs, anticipated hiring and retention requirements, expected forfeitures, dilution, and other relevant factors, as well as feedback from investors regarding equity practices. We believe the requested increase appropriately balances our future compensation needs with stockholder dilution and is intended to provide sufficient capacity through at least our November 2027 annual refresh grant cycle. We have also continued to be responsible stewards of our available share pool, as reflected in our fiscal year 2026 burn rate and stock-based compensation expense as a percentage of revenue.</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We engaged with stockholders on a range of topics over the past year. We appreciate the continued support stockholders have expressed for our Board, leadership team and executive compensation program.</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On behalf of the Compensation Committee, I respectfully request your support for this year’s say-on-pay proposal (Proposal 3) as well as the amendment to our Amended and Restated 2016 Equity Incentive Plan (Proposal 4).</w:t>
      </w:r>
    </w:p>
    <w:p>
      <w:pPr>
        <w:pStyle w:val="TextBody"/>
        <w:bidi w:val="0"/>
        <w:jc w:val="both"/>
        <w:rPr/>
      </w:pPr>
      <w:r>
        <w:rPr/>
        <w:t> </w:t>
      </w:r>
    </w:p>
    <w:p>
      <w:pPr>
        <w:pStyle w:val="Heading2"/>
        <w:bidi w:val="0"/>
        <w:jc w:val="right"/>
        <w:rPr/>
      </w:pPr>
      <w:r>
        <w:rPr/>
        <w:drawing>
          <wp:inline distT="0" distB="0" distL="0" distR="0">
            <wp:extent cx="1514475" cy="685800"/>
            <wp:effectExtent l="0" t="0" r="0" b="0"/>
            <wp:docPr id="148"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37" descr=""/>
                    <pic:cNvPicPr>
                      <a:picLocks noChangeAspect="1" noChangeArrowheads="1"/>
                    </pic:cNvPicPr>
                  </pic:nvPicPr>
                  <pic:blipFill>
                    <a:blip r:embed="rId141"/>
                    <a:stretch>
                      <a:fillRect/>
                    </a:stretch>
                  </pic:blipFill>
                  <pic:spPr bwMode="auto">
                    <a:xfrm>
                      <a:off x="0" y="0"/>
                      <a:ext cx="1514475" cy="685800"/>
                    </a:xfrm>
                    <a:prstGeom prst="rect">
                      <a:avLst/>
                    </a:prstGeom>
                  </pic:spPr>
                </pic:pic>
              </a:graphicData>
            </a:graphic>
          </wp:inline>
        </w:drawing>
      </w:r>
    </w:p>
    <w:p>
      <w:pPr>
        <w:pStyle w:val="Heading2"/>
        <w:bidi w:val="0"/>
        <w:spacing w:before="120" w:after="283"/>
        <w:jc w:val="right"/>
        <w:rPr>
          <w:rFonts w:ascii="Montserrat;sans-serif" w:hAnsi="Montserrat;sans-serif"/>
          <w:color w:val="7855FA"/>
          <w:sz w:val="18"/>
        </w:rPr>
      </w:pPr>
      <w:r>
        <w:rPr>
          <w:rFonts w:ascii="Montserrat;sans-serif" w:hAnsi="Montserrat;sans-serif"/>
          <w:color w:val="7855FA"/>
          <w:sz w:val="18"/>
        </w:rPr>
        <w:t>Mark Templeton</w:t>
      </w:r>
    </w:p>
    <w:p>
      <w:pPr>
        <w:pStyle w:val="Heading2"/>
        <w:bidi w:val="0"/>
        <w:spacing w:before="120" w:after="283"/>
        <w:jc w:val="right"/>
        <w:rPr>
          <w:rFonts w:ascii="Montserrat;sans-serif" w:hAnsi="Montserrat;sans-serif"/>
          <w:b w:val="false"/>
          <w:color w:val="000000"/>
          <w:sz w:val="18"/>
        </w:rPr>
      </w:pPr>
      <w:r>
        <w:rPr>
          <w:rFonts w:ascii="Montserrat;sans-serif" w:hAnsi="Montserrat;sans-serif"/>
          <w:b w:val="false"/>
          <w:color w:val="000000"/>
          <w:sz w:val="18"/>
        </w:rPr>
        <w:t>Compensation Committee Chair</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2641"/>
        <w:gridCol w:w="331"/>
      </w:tblGrid>
      <w:tr>
        <w:trPr/>
        <w:tc>
          <w:tcPr>
            <w:tcW w:w="26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149"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38" descr=""/>
                          <pic:cNvPicPr>
                            <a:picLocks noChangeAspect="1" noChangeArrowheads="1"/>
                          </pic:cNvPicPr>
                        </pic:nvPicPr>
                        <pic:blipFill>
                          <a:blip r:embed="rId142"/>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3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37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rFonts w:ascii="Montserrat;sans-serif" w:hAnsi="Montserrat;sans-serif"/>
          <w:color w:val="000000"/>
          <w:sz w:val="13"/>
        </w:rPr>
      </w:pPr>
      <w:r>
        <w:rPr>
          <w:rFonts w:ascii="Montserrat;sans-serif" w:hAnsi="Montserrat;sans-serif"/>
          <w:color w:val="000000"/>
          <w:sz w:val="13"/>
        </w:rPr>
        <w:t>Executive Compensation</w:t>
      </w:r>
    </w:p>
    <w:p>
      <w:pPr>
        <w:pStyle w:val="TextBody"/>
        <w:bidi w:val="0"/>
        <w:spacing w:before="60" w:after="283"/>
        <w:jc w:val="left"/>
        <w:rPr>
          <w:rFonts w:ascii="Montserrat;sans-serif" w:hAnsi="Montserrat;sans-serif"/>
          <w:color w:val="000000"/>
          <w:sz w:val="12"/>
        </w:rPr>
      </w:pPr>
      <w:r>
        <w:rPr>
          <w:rFonts w:ascii="Montserrat;sans-serif" w:hAnsi="Montserrat;sans-serif"/>
          <w:color w:val="000000"/>
          <w:sz w:val="12"/>
        </w:rPr>
        <w:t>Proposal 3: Advisory Vote to Approve the Compensation of Our Named Executive Officers</w:t>
      </w:r>
    </w:p>
    <w:p>
      <w:pPr>
        <w:pStyle w:val="TextBody"/>
        <w:bidi w:val="0"/>
        <w:jc w:val="left"/>
        <w:rPr/>
      </w:pPr>
      <w:r>
        <w:rPr/>
        <w:t> </w:t>
      </w:r>
    </w:p>
    <w:p>
      <w:pPr>
        <w:pStyle w:val="TextBody"/>
        <w:bidi w:val="0"/>
        <w:jc w:val="left"/>
        <w:rPr/>
      </w:pPr>
      <w:r>
        <w:rPr/>
        <w:t> </w:t>
      </w:r>
    </w:p>
    <w:p>
      <w:pPr>
        <w:pStyle w:val="Heading2"/>
        <w:bidi w:val="0"/>
        <w:jc w:val="left"/>
        <w:rPr>
          <w:rFonts w:ascii="Montserrat;sans-serif" w:hAnsi="Montserrat;sans-serif"/>
          <w:color w:val="7855FA"/>
          <w:sz w:val="28"/>
        </w:rPr>
      </w:pPr>
      <w:bookmarkStart w:id="18" w:name="proposal_3_advisory_vote_to_approve"/>
      <w:bookmarkEnd w:id="18"/>
      <w:r>
        <w:rPr>
          <w:rFonts w:ascii="Montserrat;sans-serif" w:hAnsi="Montserrat;sans-serif"/>
          <w:color w:val="7855FA"/>
          <w:sz w:val="28"/>
        </w:rPr>
        <w:t>Proposal 3: Advisory Vote to Approve the Compensation of Our Named Executive Officers</w:t>
      </w:r>
    </w:p>
    <w:p>
      <w:pPr>
        <w:pStyle w:val="TextBody"/>
        <w:bidi w:val="0"/>
        <w:jc w:val="both"/>
        <w:rPr/>
      </w:pPr>
      <w:r>
        <w:rPr/>
        <w:t> </w:t>
      </w:r>
    </w:p>
    <w:tbl>
      <w:tblPr>
        <w:tblW w:w="5956" w:type="dxa"/>
        <w:jc w:val="left"/>
        <w:tblInd w:w="0" w:type="dxa"/>
        <w:tblLayout w:type="fixed"/>
        <w:tblCellMar>
          <w:top w:w="28" w:type="dxa"/>
          <w:left w:w="28" w:type="dxa"/>
          <w:bottom w:w="28" w:type="dxa"/>
          <w:right w:w="28" w:type="dxa"/>
        </w:tblCellMar>
      </w:tblPr>
      <w:tblGrid>
        <w:gridCol w:w="356"/>
        <w:gridCol w:w="109"/>
        <w:gridCol w:w="5491"/>
      </w:tblGrid>
      <w:tr>
        <w:trPr/>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1" w:type="dxa"/>
            <w:tcBorders/>
            <w:vAlign w:val="center"/>
          </w:tcPr>
          <w:p>
            <w:pPr>
              <w:pStyle w:val="TableContents"/>
              <w:bidi w:val="0"/>
              <w:spacing w:before="0" w:after="283"/>
              <w:jc w:val="left"/>
              <w:rPr>
                <w:sz w:val="4"/>
                <w:szCs w:val="4"/>
              </w:rPr>
            </w:pPr>
            <w:r>
              <w:rPr>
                <w:sz w:val="4"/>
                <w:szCs w:val="4"/>
              </w:rPr>
            </w:r>
          </w:p>
        </w:tc>
      </w:tr>
      <w:tr>
        <w:trPr/>
        <w:tc>
          <w:tcPr>
            <w:tcW w:w="356" w:type="dxa"/>
            <w:tcBorders/>
            <w:shd w:fill="785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785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1" w:type="dxa"/>
            <w:tcBorders/>
            <w:shd w:fill="785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 w:type="dxa"/>
            <w:tcBorders/>
            <w:shd w:fill="7855F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61925" cy="161925"/>
                  <wp:effectExtent l="0" t="0" r="0" b="0"/>
                  <wp:docPr id="150"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39" descr=""/>
                          <pic:cNvPicPr>
                            <a:picLocks noChangeAspect="1" noChangeArrowheads="1"/>
                          </pic:cNvPicPr>
                        </pic:nvPicPr>
                        <pic:blipFill>
                          <a:blip r:embed="rId143"/>
                          <a:stretch>
                            <a:fillRect/>
                          </a:stretch>
                        </pic:blipFill>
                        <pic:spPr bwMode="auto">
                          <a:xfrm>
                            <a:off x="0" y="0"/>
                            <a:ext cx="161925" cy="161925"/>
                          </a:xfrm>
                          <a:prstGeom prst="rect">
                            <a:avLst/>
                          </a:prstGeom>
                        </pic:spPr>
                      </pic:pic>
                    </a:graphicData>
                  </a:graphic>
                </wp:inline>
              </w:drawing>
            </w:r>
          </w:p>
        </w:tc>
        <w:tc>
          <w:tcPr>
            <w:tcW w:w="109" w:type="dxa"/>
            <w:tcBorders/>
            <w:shd w:fill="785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1" w:type="dxa"/>
            <w:tcBorders/>
            <w:shd w:fill="7855FA" w:val="clear"/>
            <w:tcMar>
              <w:top w:w="0" w:type="dxa"/>
              <w:left w:w="0" w:type="dxa"/>
              <w:bottom w:w="0" w:type="dxa"/>
              <w:right w:w="0" w:type="dxa"/>
            </w:tcMar>
            <w:vAlign w:val="center"/>
          </w:tcPr>
          <w:p>
            <w:pPr>
              <w:pStyle w:val="TableContents"/>
              <w:bidi w:val="0"/>
              <w:spacing w:before="0" w:after="283"/>
              <w:jc w:val="left"/>
              <w:rPr>
                <w:rFonts w:ascii="Montserrat" w:hAnsi="Montserrat"/>
                <w:sz w:val="18"/>
              </w:rPr>
            </w:pPr>
            <w:r>
              <w:rPr>
                <w:rFonts w:ascii="Montserrat;Montserrat Medium;sans-serif" w:hAnsi="Montserrat;Montserrat Medium;sans-serif"/>
                <w:b/>
                <w:color w:val="FFFFFF"/>
                <w:sz w:val="18"/>
              </w:rPr>
              <w:t>Our Board Recommends a</w:t>
            </w:r>
            <w:r>
              <w:rPr>
                <w:rFonts w:ascii="Montserrat" w:hAnsi="Montserrat"/>
                <w:color w:val="FFFFFF"/>
                <w:sz w:val="18"/>
              </w:rPr>
              <w:t xml:space="preserve"> </w:t>
            </w:r>
            <w:r>
              <w:rPr>
                <w:rFonts w:ascii="Montserrat;sans-serif" w:hAnsi="Montserrat;sans-serif"/>
                <w:b/>
                <w:color w:val="FFFFFF"/>
                <w:sz w:val="18"/>
              </w:rPr>
              <w:t>VOTE FOR</w:t>
            </w:r>
            <w:r>
              <w:rPr>
                <w:rFonts w:ascii="Montserrat" w:hAnsi="Montserrat"/>
                <w:color w:val="FFFFFF"/>
                <w:sz w:val="18"/>
              </w:rPr>
              <w:t xml:space="preserve"> </w:t>
            </w:r>
            <w:r>
              <w:rPr>
                <w:rFonts w:ascii="Montserrat;Montserrat Medium;sans-serif" w:hAnsi="Montserrat;Montserrat Medium;sans-serif"/>
                <w:b/>
                <w:color w:val="FFFFFF"/>
                <w:sz w:val="18"/>
              </w:rPr>
              <w:t>this Proposal 3.</w:t>
            </w:r>
          </w:p>
        </w:tc>
      </w:tr>
      <w:tr>
        <w:trPr/>
        <w:tc>
          <w:tcPr>
            <w:tcW w:w="356" w:type="dxa"/>
            <w:tcBorders/>
            <w:shd w:fill="785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785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1" w:type="dxa"/>
            <w:tcBorders/>
            <w:shd w:fill="7855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rFonts w:ascii="Montserrat;sans-serif" w:hAnsi="Montserrat;sans-serif"/>
          <w:color w:val="000000"/>
          <w:sz w:val="18"/>
        </w:rPr>
      </w:pPr>
      <w:r>
        <w:rPr>
          <w:rFonts w:ascii="Montserrat;sans-serif" w:hAnsi="Montserrat;sans-serif"/>
          <w:color w:val="000000"/>
          <w:sz w:val="18"/>
        </w:rPr>
        <w:t>Section 14A of the Exchange Act enables our stockholders to vote whether to approve, on an advisory and non-binding basis, the compensation of our NEOs. This vote, commonly known as a “say-on-pay” vote, gives our stockholders the opportunity to express their views on our NEOs’ compensation as a whole. This vote is not intended to address any specific item of compensation or any specific NEO, but rather the overall compensation of all our NEOs and the philosophy, policies, and practices described in this proxy statement.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While the say-on-pay vote is advisory and non-binding, it will provide important information to us regarding stockholder sentiment about our executive compensation philosophy, policies, and practices, which the Compensation Committee will be able to consider when determining executive compensation for the remainder of the current fiscal year and beyond. Our Board and the Compensation Committee value the opinions of our stockholders and, to the extent there is any significant vote against the NEO compensation as disclosed in this proxy statement, we will communicate directly with stockholders to better understand the concerns that influenced the vote. The Compensation Committee will consider these concerns and evaluate whether any actions are necessary to address them.</w:t>
      </w:r>
    </w:p>
    <w:p>
      <w:pPr>
        <w:pStyle w:val="TextBody"/>
        <w:bidi w:val="0"/>
        <w:spacing w:before="120" w:after="283"/>
        <w:jc w:val="both"/>
        <w:rPr>
          <w:rFonts w:ascii="Montserrat" w:hAnsi="Montserrat"/>
          <w:sz w:val="18"/>
        </w:rPr>
      </w:pPr>
      <w:r>
        <w:rPr>
          <w:rFonts w:ascii="Montserrat;sans-serif" w:hAnsi="Montserrat;sans-serif"/>
          <w:color w:val="000000"/>
          <w:sz w:val="18"/>
        </w:rPr>
        <w:t>We believe the information provided in the “</w:t>
      </w:r>
      <w:r>
        <w:rPr>
          <w:rFonts w:ascii="Montserrat;sans-serif" w:hAnsi="Montserrat;sans-serif"/>
          <w:color w:val="7855FA"/>
          <w:sz w:val="18"/>
        </w:rPr>
        <w:t>Executive Compensation</w:t>
      </w:r>
      <w:r>
        <w:rPr>
          <w:rFonts w:ascii="Montserrat" w:hAnsi="Montserrat"/>
          <w:color w:val="000000"/>
          <w:sz w:val="18"/>
        </w:rPr>
        <w:t xml:space="preserve">” </w:t>
      </w:r>
      <w:r>
        <w:rPr>
          <w:rFonts w:ascii="Montserrat;sans-serif" w:hAnsi="Montserrat;sans-serif"/>
          <w:color w:val="000000"/>
          <w:sz w:val="18"/>
        </w:rPr>
        <w:t>section of this proxy statement, and in particular the information discussed in “</w:t>
      </w:r>
      <w:r>
        <w:rPr>
          <w:rFonts w:ascii="Montserrat;sans-serif" w:hAnsi="Montserrat;sans-serif"/>
          <w:color w:val="7855FA"/>
          <w:sz w:val="18"/>
        </w:rPr>
        <w:t>Executive Compensation – Compensation Discussion and Analysis</w:t>
      </w:r>
      <w:r>
        <w:rPr>
          <w:rFonts w:ascii="Montserrat;sans-serif" w:hAnsi="Montserrat;sans-serif"/>
          <w:color w:val="000000"/>
          <w:sz w:val="18"/>
        </w:rPr>
        <w:t xml:space="preserve">,” demonstrates that our executive compensation program is designed to align management’s interests with those of our stockholders and support long-term value creation. Accordingly, our Board unanimously recommends that our stockholders vote </w:t>
      </w:r>
      <w:r>
        <w:rPr>
          <w:rFonts w:ascii="Montserrat;Montserrat Medium;sans-serif" w:hAnsi="Montserrat;Montserrat Medium;sans-serif"/>
          <w:b/>
          <w:color w:val="000000"/>
          <w:sz w:val="18"/>
        </w:rPr>
        <w:t>FOR</w:t>
      </w:r>
      <w:r>
        <w:rPr>
          <w:rFonts w:ascii="Montserrat" w:hAnsi="Montserrat"/>
          <w:color w:val="000000"/>
          <w:sz w:val="18"/>
        </w:rPr>
        <w:t xml:space="preserve"> </w:t>
      </w:r>
      <w:r>
        <w:rPr>
          <w:rFonts w:ascii="Montserrat;sans-serif" w:hAnsi="Montserrat;sans-serif"/>
          <w:color w:val="000000"/>
          <w:sz w:val="18"/>
        </w:rPr>
        <w:t>the following resolution at the Annual Meeting:</w:t>
      </w:r>
    </w:p>
    <w:p>
      <w:pPr>
        <w:pStyle w:val="TextBody"/>
        <w:bidi w:val="0"/>
        <w:spacing w:before="120" w:after="283"/>
        <w:ind w:left="360" w:right="360" w:hanging="0"/>
        <w:jc w:val="both"/>
        <w:rPr>
          <w:rFonts w:ascii="Montserrat" w:hAnsi="Montserrat"/>
          <w:sz w:val="18"/>
        </w:rPr>
      </w:pPr>
      <w:r>
        <w:rPr>
          <w:rFonts w:ascii="Montserrat;Montserrat Medium;sans-serif" w:hAnsi="Montserrat;Montserrat Medium;sans-serif"/>
          <w:b/>
          <w:color w:val="000000"/>
          <w:sz w:val="18"/>
        </w:rPr>
        <w:t>RESOLVED</w:t>
      </w:r>
      <w:r>
        <w:rPr>
          <w:rFonts w:ascii="Montserrat;sans-serif" w:hAnsi="Montserrat;sans-serif"/>
          <w:color w:val="000000"/>
          <w:sz w:val="18"/>
        </w:rPr>
        <w:t>, that the stockholders approve, on a non-binding advisory basis, the compensation paid to our named executive officers as disclosed in the proxy statement for the Annual Meeting pursuant to the compensation disclosure rules of the SEC, including in the Compensation Discussion and Analysis, the compensation tables, and the narrative discussions that accompany the compensation tables.</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Vote Required</w:t>
      </w:r>
    </w:p>
    <w:p>
      <w:pPr>
        <w:pStyle w:val="TextBody"/>
        <w:bidi w:val="0"/>
        <w:spacing w:before="120" w:after="283"/>
        <w:jc w:val="both"/>
        <w:rPr>
          <w:rFonts w:ascii="Montserrat" w:hAnsi="Montserrat"/>
          <w:sz w:val="18"/>
        </w:rPr>
      </w:pPr>
      <w:r>
        <w:rPr>
          <w:rFonts w:ascii="Montserrat;sans-serif" w:hAnsi="Montserrat;sans-serif"/>
          <w:color w:val="000000"/>
          <w:sz w:val="18"/>
        </w:rPr>
        <w:t xml:space="preserve">The non-binding advisory vote on NEO compensation requires the affirmative vote of a majority of the voting power of the shares present at the Annual Meeting or represented by proxy and entitled to vote on the proposal. Abstentions will have the effect of a vote </w:t>
      </w:r>
      <w:r>
        <w:rPr>
          <w:rFonts w:ascii="Montserrat;Montserrat Medium;sans-serif" w:hAnsi="Montserrat;Montserrat Medium;sans-serif"/>
          <w:b/>
          <w:color w:val="000000"/>
          <w:sz w:val="18"/>
        </w:rPr>
        <w:t>AGAINST</w:t>
      </w:r>
      <w:r>
        <w:rPr>
          <w:rFonts w:ascii="Montserrat" w:hAnsi="Montserrat"/>
          <w:color w:val="000000"/>
          <w:sz w:val="18"/>
        </w:rPr>
        <w:t xml:space="preserve"> </w:t>
      </w:r>
      <w:r>
        <w:rPr>
          <w:rFonts w:ascii="Montserrat;sans-serif" w:hAnsi="Montserrat;sans-serif"/>
          <w:color w:val="000000"/>
          <w:sz w:val="18"/>
        </w:rPr>
        <w:t>the proposal and broker non-votes will have no effect.</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301"/>
        <w:gridCol w:w="2671"/>
      </w:tblGrid>
      <w:tr>
        <w:trPr/>
        <w:tc>
          <w:tcPr>
            <w:tcW w:w="30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38</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151"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40" descr=""/>
                          <pic:cNvPicPr>
                            <a:picLocks noChangeAspect="1" noChangeArrowheads="1"/>
                          </pic:cNvPicPr>
                        </pic:nvPicPr>
                        <pic:blipFill>
                          <a:blip r:embed="rId144"/>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rFonts w:ascii="Montserrat;sans-serif" w:hAnsi="Montserrat;sans-serif"/>
          <w:color w:val="000000"/>
          <w:sz w:val="13"/>
        </w:rPr>
      </w:pPr>
      <w:r>
        <w:rPr>
          <w:rFonts w:ascii="Montserrat;sans-serif" w:hAnsi="Montserrat;sans-serif"/>
          <w:color w:val="000000"/>
          <w:sz w:val="13"/>
        </w:rPr>
        <w:t>Executive Compensation</w:t>
      </w:r>
    </w:p>
    <w:p>
      <w:pPr>
        <w:pStyle w:val="TextBody"/>
        <w:bidi w:val="0"/>
        <w:spacing w:before="60" w:after="283"/>
        <w:jc w:val="right"/>
        <w:rPr>
          <w:rFonts w:ascii="Montserrat;sans-serif" w:hAnsi="Montserrat;sans-serif"/>
          <w:color w:val="000000"/>
          <w:sz w:val="12"/>
        </w:rPr>
      </w:pPr>
      <w:r>
        <w:rPr>
          <w:rFonts w:ascii="Montserrat;sans-serif" w:hAnsi="Montserrat;sans-serif"/>
          <w:color w:val="000000"/>
          <w:sz w:val="12"/>
        </w:rPr>
        <w:t>Compensation Discussion and Analysis</w:t>
      </w:r>
    </w:p>
    <w:p>
      <w:pPr>
        <w:pStyle w:val="TextBody"/>
        <w:bidi w:val="0"/>
        <w:jc w:val="right"/>
        <w:rPr/>
      </w:pPr>
      <w:r>
        <w:rPr/>
        <w:t> </w:t>
      </w:r>
    </w:p>
    <w:p>
      <w:pPr>
        <w:pStyle w:val="TextBody"/>
        <w:bidi w:val="0"/>
        <w:jc w:val="right"/>
        <w:rPr/>
      </w:pPr>
      <w:r>
        <w:rPr/>
        <w:t> </w:t>
      </w:r>
    </w:p>
    <w:p>
      <w:pPr>
        <w:pStyle w:val="Heading2"/>
        <w:bidi w:val="0"/>
        <w:spacing w:before="0" w:after="160"/>
        <w:jc w:val="left"/>
        <w:rPr>
          <w:rFonts w:ascii="Montserrat;sans-serif" w:hAnsi="Montserrat;sans-serif"/>
          <w:color w:val="7855FA"/>
          <w:sz w:val="28"/>
        </w:rPr>
      </w:pPr>
      <w:bookmarkStart w:id="19" w:name="compensation_discussion_and_analysis"/>
      <w:bookmarkEnd w:id="19"/>
      <w:r>
        <w:rPr>
          <w:rFonts w:ascii="Montserrat;sans-serif" w:hAnsi="Montserrat;sans-serif"/>
          <w:color w:val="7855FA"/>
          <w:sz w:val="28"/>
        </w:rPr>
        <w:t>Compensation Discussion and Analysis</w:t>
      </w:r>
    </w:p>
    <w:p>
      <w:pPr>
        <w:pStyle w:val="TextBody"/>
        <w:bidi w:val="0"/>
        <w:jc w:val="both"/>
        <w:rPr>
          <w:rFonts w:ascii="Montserrat;sans-serif" w:hAnsi="Montserrat;sans-serif"/>
          <w:sz w:val="18"/>
        </w:rPr>
      </w:pPr>
      <w:r>
        <w:rPr>
          <w:rFonts w:ascii="Montserrat;sans-serif" w:hAnsi="Montserrat;sans-serif"/>
          <w:color w:val="000000"/>
          <w:sz w:val="18"/>
        </w:rPr>
        <w:t>The compensation provided to our named executive officers (“NEOs”) for fiscal year 2026 is set forth in detail in the “</w:t>
      </w:r>
      <w:r>
        <w:rPr>
          <w:rFonts w:ascii="Montserrat;sans-serif" w:hAnsi="Montserrat;sans-serif"/>
          <w:color w:val="7855FA"/>
          <w:sz w:val="18"/>
        </w:rPr>
        <w:t>Fiscal Year 2026 Summary Compensation Table</w:t>
      </w:r>
      <w:r>
        <w:rPr>
          <w:rFonts w:ascii="Montserrat;sans-serif" w:hAnsi="Montserrat;sans-serif"/>
          <w:color w:val="000000"/>
          <w:sz w:val="18"/>
        </w:rPr>
        <w:t>” and the other tables that follow this Compensation Discussion and Analysis. The following discussion provides an overview of our executive compensation philosophy, the overall objectives of our executive compensation program, and each component of compensation that we provide to our NEOs. In addition, we explain how and why the Compensation Committee arrived at the specific compensation policies and decisions for our NEOs. The following are our NEOs for fiscal year 2026:</w:t>
      </w:r>
    </w:p>
    <w:p>
      <w:pPr>
        <w:pStyle w:val="TextBody"/>
        <w:bidi w:val="0"/>
        <w:spacing w:before="120" w:after="283"/>
        <w:jc w:val="both"/>
        <w:rPr>
          <w:color w:val="594DFF"/>
        </w:rPr>
      </w:pPr>
      <w:r>
        <w:rPr>
          <w:color w:val="594DFF"/>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Rajiv Ramaswami, our Chief Executive Officer;</w:t>
      </w:r>
    </w:p>
    <w:p>
      <w:pPr>
        <w:pStyle w:val="TextBody"/>
        <w:bidi w:val="0"/>
        <w:spacing w:before="120" w:after="283"/>
        <w:jc w:val="both"/>
        <w:rPr>
          <w:color w:val="594DFF"/>
        </w:rPr>
      </w:pPr>
      <w:r>
        <w:rPr>
          <w:color w:val="594DFF"/>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Rukmini Sivaraman, our Chief Financial Officer;</w:t>
      </w:r>
    </w:p>
    <w:p>
      <w:pPr>
        <w:pStyle w:val="TextBody"/>
        <w:bidi w:val="0"/>
        <w:spacing w:before="120" w:after="283"/>
        <w:jc w:val="both"/>
        <w:rPr>
          <w:color w:val="594DFF"/>
        </w:rPr>
      </w:pPr>
      <w:r>
        <w:rPr>
          <w:color w:val="594DFF"/>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Brian Martin, our Chief Legal Officer; and</w:t>
      </w:r>
    </w:p>
    <w:p>
      <w:pPr>
        <w:pStyle w:val="TextBody"/>
        <w:bidi w:val="0"/>
        <w:spacing w:before="120" w:after="283"/>
        <w:jc w:val="both"/>
        <w:rPr>
          <w:color w:val="594DFF"/>
        </w:rPr>
      </w:pPr>
      <w:r>
        <w:rPr>
          <w:color w:val="594DFF"/>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Tarkan Maner, our former President and Chief Commercial Officer.</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Following the end of fiscal year 2026, Mr. Maner stepped down as President and Chief Commercial Officer in October 2026. In connection with his transition from that role, we entered into a Transition Advisory Services Agreement with Mr. Maner. Additional information regarding this arrangement is described under “</w:t>
      </w:r>
      <w:r>
        <w:rPr>
          <w:rFonts w:ascii="Montserrat;sans-serif" w:hAnsi="Montserrat;sans-serif"/>
          <w:color w:val="7855FA"/>
          <w:sz w:val="18"/>
        </w:rPr>
        <w:t>Executive Compensation—Employment Arrangements</w:t>
      </w:r>
      <w:r>
        <w:rPr>
          <w:rFonts w:ascii="Montserrat;sans-serif" w:hAnsi="Montserrat;sans-serif"/>
          <w:color w:val="000000"/>
          <w:sz w:val="18"/>
        </w:rPr>
        <w:t>.”</w:t>
      </w:r>
    </w:p>
    <w:p>
      <w:pPr>
        <w:pStyle w:val="TextBody"/>
        <w:bidi w:val="0"/>
        <w:spacing w:before="360" w:after="283"/>
        <w:jc w:val="left"/>
        <w:rPr>
          <w:rFonts w:ascii="Montserrat;Montserrat Medium;sans-serif" w:hAnsi="Montserrat;Montserrat Medium;sans-serif"/>
          <w:b/>
          <w:color w:val="7855FA"/>
          <w:sz w:val="22"/>
        </w:rPr>
      </w:pPr>
      <w:r>
        <w:rPr>
          <w:rFonts w:ascii="Montserrat;Montserrat Medium;sans-serif" w:hAnsi="Montserrat;Montserrat Medium;sans-serif"/>
          <w:b/>
          <w:color w:val="7855FA"/>
          <w:sz w:val="22"/>
        </w:rPr>
        <w:t>Fiscal Year 2026 Financial and Performance Highlights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649"/>
        <w:gridCol w:w="146"/>
        <w:gridCol w:w="1924"/>
        <w:gridCol w:w="146"/>
        <w:gridCol w:w="5340"/>
      </w:tblGrid>
      <w:tr>
        <w:trPr/>
        <w:tc>
          <w:tcPr>
            <w:tcW w:w="26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40" w:type="dxa"/>
            <w:tcBorders/>
            <w:vAlign w:val="center"/>
          </w:tcPr>
          <w:p>
            <w:pPr>
              <w:pStyle w:val="TableContents"/>
              <w:bidi w:val="0"/>
              <w:spacing w:before="0" w:after="283"/>
              <w:jc w:val="left"/>
              <w:rPr>
                <w:sz w:val="4"/>
                <w:szCs w:val="4"/>
              </w:rPr>
            </w:pPr>
            <w:r>
              <w:rPr>
                <w:sz w:val="4"/>
                <w:szCs w:val="4"/>
              </w:rPr>
            </w:r>
          </w:p>
        </w:tc>
      </w:tr>
      <w:tr>
        <w:trPr/>
        <w:tc>
          <w:tcPr>
            <w:tcW w:w="2649" w:type="dxa"/>
            <w:tcBorders/>
            <w:tcMar>
              <w:top w:w="0" w:type="dxa"/>
              <w:left w:w="0" w:type="dxa"/>
              <w:bottom w:w="0" w:type="dxa"/>
              <w:right w:w="0" w:type="dxa"/>
            </w:tcMar>
            <w:vAlign w:val="center"/>
          </w:tcPr>
          <w:p>
            <w:pPr>
              <w:pStyle w:val="TableContents"/>
              <w:bidi w:val="0"/>
              <w:spacing w:before="120" w:after="283"/>
              <w:jc w:val="center"/>
              <w:rPr>
                <w:rFonts w:ascii="Montserrat;sans-serif" w:hAnsi="Montserrat;sans-serif"/>
                <w:b/>
                <w:color w:val="7855FA"/>
                <w:sz w:val="28"/>
              </w:rPr>
            </w:pPr>
            <w:r>
              <w:rPr>
                <w:rFonts w:ascii="Montserrat;sans-serif" w:hAnsi="Montserrat;sans-serif"/>
                <w:b/>
                <w:color w:val="7855FA"/>
                <w:sz w:val="28"/>
              </w:rPr>
              <w:t>$2.55 billion</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1924" w:type="dxa"/>
            <w:tcBorders/>
            <w:tcMar>
              <w:top w:w="0" w:type="dxa"/>
              <w:left w:w="0" w:type="dxa"/>
              <w:bottom w:w="0" w:type="dxa"/>
              <w:right w:w="0" w:type="dxa"/>
            </w:tcMar>
            <w:vAlign w:val="center"/>
          </w:tcPr>
          <w:p>
            <w:pPr>
              <w:pStyle w:val="TableContents"/>
              <w:bidi w:val="0"/>
              <w:spacing w:before="120" w:after="283"/>
              <w:jc w:val="center"/>
              <w:rPr>
                <w:rFonts w:ascii="Montserrat;sans-serif" w:hAnsi="Montserrat;sans-serif"/>
                <w:b/>
                <w:color w:val="7855FA"/>
                <w:sz w:val="28"/>
              </w:rPr>
            </w:pPr>
            <w:r>
              <w:rPr>
                <w:rFonts w:ascii="Montserrat;sans-serif" w:hAnsi="Montserrat;sans-serif"/>
                <w:b/>
                <w:color w:val="7855FA"/>
                <w:sz w:val="28"/>
              </w:rPr>
              <w:t>$841 million</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340" w:type="dxa"/>
            <w:tcBorders/>
            <w:tcMar>
              <w:top w:w="0" w:type="dxa"/>
              <w:left w:w="0" w:type="dxa"/>
              <w:bottom w:w="0" w:type="dxa"/>
              <w:right w:w="0" w:type="dxa"/>
            </w:tcMar>
            <w:vAlign w:val="center"/>
          </w:tcPr>
          <w:p>
            <w:pPr>
              <w:pStyle w:val="TableContents"/>
              <w:bidi w:val="0"/>
              <w:spacing w:before="120" w:after="283"/>
              <w:jc w:val="center"/>
              <w:rPr>
                <w:rFonts w:ascii="Montserrat;sans-serif" w:hAnsi="Montserrat;sans-serif"/>
                <w:b/>
                <w:color w:val="7855FA"/>
                <w:sz w:val="28"/>
              </w:rPr>
            </w:pPr>
            <w:r>
              <w:rPr>
                <w:rFonts w:ascii="Montserrat;sans-serif" w:hAnsi="Montserrat;sans-serif"/>
                <w:b/>
                <w:color w:val="7855FA"/>
                <w:sz w:val="28"/>
              </w:rPr>
              <w:t>42</w:t>
            </w:r>
          </w:p>
        </w:tc>
      </w:tr>
      <w:tr>
        <w:trPr/>
        <w:tc>
          <w:tcPr>
            <w:tcW w:w="2649" w:type="dxa"/>
            <w:tcBorders/>
            <w:tcMar>
              <w:top w:w="0" w:type="dxa"/>
              <w:left w:w="0" w:type="dxa"/>
              <w:bottom w:w="0" w:type="dxa"/>
              <w:right w:w="0" w:type="dxa"/>
            </w:tcMar>
            <w:vAlign w:val="center"/>
          </w:tcPr>
          <w:p>
            <w:pPr>
              <w:pStyle w:val="TableContents"/>
              <w:bidi w:val="0"/>
              <w:spacing w:lineRule="auto" w:line="360" w:before="120" w:after="283"/>
              <w:jc w:val="center"/>
              <w:rPr>
                <w:rFonts w:ascii="Montserrat Medium;sans-serif" w:hAnsi="Montserrat Medium;sans-serif"/>
                <w:sz w:val="18"/>
              </w:rPr>
            </w:pPr>
            <w:r>
              <w:rPr>
                <w:rFonts w:ascii="Montserrat;Montserrat Medium;sans-serif" w:hAnsi="Montserrat;Montserrat Medium;sans-serif"/>
                <w:b/>
                <w:color w:val="000000"/>
                <w:sz w:val="18"/>
              </w:rPr>
              <w:t>Annual Recurring Revenue</w:t>
            </w:r>
            <w:r>
              <w:rPr>
                <w:rFonts w:ascii="Montserrat;Montserrat Medium;sans-serif" w:hAnsi="Montserrat;Montserrat Medium;sans-serif"/>
                <w:b/>
                <w:color w:val="000000"/>
                <w:sz w:val="12"/>
              </w:rPr>
              <w:t>(1)</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1924" w:type="dxa"/>
            <w:tcBorders/>
            <w:tcMar>
              <w:top w:w="0" w:type="dxa"/>
              <w:left w:w="0" w:type="dxa"/>
              <w:bottom w:w="0" w:type="dxa"/>
              <w:right w:w="0" w:type="dxa"/>
            </w:tcMar>
            <w:vAlign w:val="center"/>
          </w:tcPr>
          <w:p>
            <w:pPr>
              <w:pStyle w:val="TableContents"/>
              <w:bidi w:val="0"/>
              <w:spacing w:lineRule="auto" w:line="360" w:before="120" w:after="283"/>
              <w:jc w:val="center"/>
              <w:rPr>
                <w:rFonts w:ascii="Montserrat Medium;sans-serif" w:hAnsi="Montserrat Medium;sans-serif"/>
                <w:sz w:val="18"/>
              </w:rPr>
            </w:pPr>
            <w:r>
              <w:rPr>
                <w:rFonts w:ascii="Montserrat;Montserrat Medium;sans-serif" w:hAnsi="Montserrat;Montserrat Medium;sans-serif"/>
                <w:b/>
                <w:color w:val="000000"/>
                <w:sz w:val="18"/>
              </w:rPr>
              <w:t>Free Cash Flow</w:t>
            </w:r>
            <w:r>
              <w:rPr>
                <w:rFonts w:ascii="Montserrat;Montserrat Medium;sans-serif" w:hAnsi="Montserrat;Montserrat Medium;sans-serif"/>
                <w:b/>
                <w:color w:val="000000"/>
                <w:sz w:val="12"/>
              </w:rPr>
              <w:t>(2)</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340" w:type="dxa"/>
            <w:tcBorders/>
            <w:tcMar>
              <w:top w:w="0" w:type="dxa"/>
              <w:left w:w="0" w:type="dxa"/>
              <w:bottom w:w="0" w:type="dxa"/>
              <w:right w:w="0" w:type="dxa"/>
            </w:tcMar>
            <w:vAlign w:val="center"/>
          </w:tcPr>
          <w:p>
            <w:pPr>
              <w:pStyle w:val="TableContents"/>
              <w:bidi w:val="0"/>
              <w:spacing w:before="120" w:after="283"/>
              <w:jc w:val="center"/>
              <w:rPr>
                <w:color w:val="000000"/>
              </w:rPr>
            </w:pPr>
            <w:r>
              <w:rPr>
                <w:color w:val="000000"/>
              </w:rPr>
              <w:t>“</w:t>
            </w:r>
            <w:r>
              <w:rPr>
                <w:rFonts w:ascii="Montserrat;Montserrat Medium;sans-serif" w:hAnsi="Montserrat;Montserrat Medium;sans-serif"/>
                <w:b/>
                <w:color w:val="000000"/>
                <w:sz w:val="18"/>
              </w:rPr>
              <w:t>Rule of 40” Score</w:t>
            </w:r>
          </w:p>
        </w:tc>
      </w:tr>
      <w:tr>
        <w:trPr/>
        <w:tc>
          <w:tcPr>
            <w:tcW w:w="2649"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1924"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340" w:type="dxa"/>
            <w:tcBorders/>
            <w:tcMar>
              <w:top w:w="0" w:type="dxa"/>
              <w:left w:w="0" w:type="dxa"/>
              <w:bottom w:w="0" w:type="dxa"/>
              <w:right w:w="0" w:type="dxa"/>
            </w:tcMar>
            <w:vAlign w:val="center"/>
          </w:tcPr>
          <w:p>
            <w:pPr>
              <w:pStyle w:val="TableContents"/>
              <w:bidi w:val="0"/>
              <w:spacing w:before="120" w:after="283"/>
              <w:jc w:val="center"/>
              <w:rPr/>
            </w:pPr>
            <w:r>
              <w:rPr/>
              <w:t> </w:t>
            </w:r>
          </w:p>
        </w:tc>
      </w:tr>
      <w:tr>
        <w:trPr/>
        <w:tc>
          <w:tcPr>
            <w:tcW w:w="2649" w:type="dxa"/>
            <w:tcBorders/>
            <w:tcMar>
              <w:top w:w="0" w:type="dxa"/>
              <w:left w:w="0" w:type="dxa"/>
              <w:bottom w:w="0" w:type="dxa"/>
              <w:right w:w="0" w:type="dxa"/>
            </w:tcMar>
            <w:vAlign w:val="center"/>
          </w:tcPr>
          <w:p>
            <w:pPr>
              <w:pStyle w:val="TableContents"/>
              <w:bidi w:val="0"/>
              <w:spacing w:before="120" w:after="283"/>
              <w:jc w:val="center"/>
              <w:rPr/>
            </w:pPr>
            <w:r>
              <w:rPr/>
              <w:drawing>
                <wp:inline distT="0" distB="0" distL="0" distR="0">
                  <wp:extent cx="76200" cy="66675"/>
                  <wp:effectExtent l="0" t="0" r="0" b="0"/>
                  <wp:docPr id="152"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41" descr=""/>
                          <pic:cNvPicPr>
                            <a:picLocks noChangeAspect="1" noChangeArrowheads="1"/>
                          </pic:cNvPicPr>
                        </pic:nvPicPr>
                        <pic:blipFill>
                          <a:blip r:embed="rId145"/>
                          <a:stretch>
                            <a:fillRect/>
                          </a:stretch>
                        </pic:blipFill>
                        <pic:spPr bwMode="auto">
                          <a:xfrm>
                            <a:off x="0" y="0"/>
                            <a:ext cx="76200" cy="66675"/>
                          </a:xfrm>
                          <a:prstGeom prst="rect">
                            <a:avLst/>
                          </a:prstGeom>
                        </pic:spPr>
                      </pic:pic>
                    </a:graphicData>
                  </a:graphic>
                </wp:inline>
              </w:drawing>
            </w:r>
            <w:r>
              <w:rPr>
                <w:color w:val="000000"/>
              </w:rPr>
              <w:t xml:space="preserve"> </w:t>
            </w:r>
            <w:r>
              <w:rPr>
                <w:rFonts w:ascii="Montserrat;sans-serif" w:hAnsi="Montserrat;sans-serif"/>
                <w:b/>
                <w:color w:val="000000"/>
                <w:sz w:val="18"/>
              </w:rPr>
              <w:t xml:space="preserve">16% </w:t>
            </w:r>
            <w:r>
              <w:rPr>
                <w:rFonts w:ascii="Montserrat;sans-serif" w:hAnsi="Montserrat;sans-serif"/>
                <w:color w:val="000000"/>
                <w:sz w:val="18"/>
              </w:rPr>
              <w:t>increase compared</w:t>
              <w:br/>
              <w:t>to the end of FY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tcBorders/>
            <w:tcMar>
              <w:top w:w="0" w:type="dxa"/>
              <w:left w:w="0" w:type="dxa"/>
              <w:bottom w:w="0" w:type="dxa"/>
              <w:right w:w="0" w:type="dxa"/>
            </w:tcMar>
            <w:vAlign w:val="center"/>
          </w:tcPr>
          <w:p>
            <w:pPr>
              <w:pStyle w:val="TableContents"/>
              <w:bidi w:val="0"/>
              <w:spacing w:before="120" w:after="283"/>
              <w:jc w:val="center"/>
              <w:rPr/>
            </w:pPr>
            <w:r>
              <w:rPr/>
              <w:drawing>
                <wp:inline distT="0" distB="0" distL="0" distR="0">
                  <wp:extent cx="76200" cy="66675"/>
                  <wp:effectExtent l="0" t="0" r="0" b="0"/>
                  <wp:docPr id="153"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42" descr=""/>
                          <pic:cNvPicPr>
                            <a:picLocks noChangeAspect="1" noChangeArrowheads="1"/>
                          </pic:cNvPicPr>
                        </pic:nvPicPr>
                        <pic:blipFill>
                          <a:blip r:embed="rId146"/>
                          <a:stretch>
                            <a:fillRect/>
                          </a:stretch>
                        </pic:blipFill>
                        <pic:spPr bwMode="auto">
                          <a:xfrm>
                            <a:off x="0" y="0"/>
                            <a:ext cx="76200" cy="66675"/>
                          </a:xfrm>
                          <a:prstGeom prst="rect">
                            <a:avLst/>
                          </a:prstGeom>
                        </pic:spPr>
                      </pic:pic>
                    </a:graphicData>
                  </a:graphic>
                </wp:inline>
              </w:drawing>
            </w:r>
            <w:r>
              <w:rPr>
                <w:color w:val="000000"/>
              </w:rPr>
              <w:t xml:space="preserve"> </w:t>
            </w:r>
            <w:r>
              <w:rPr>
                <w:rFonts w:ascii="Montserrat;sans-serif" w:hAnsi="Montserrat;sans-serif"/>
                <w:b/>
                <w:color w:val="000000"/>
                <w:sz w:val="18"/>
              </w:rPr>
              <w:t xml:space="preserve">12% </w:t>
            </w:r>
            <w:r>
              <w:rPr>
                <w:rFonts w:ascii="Montserrat;sans-serif" w:hAnsi="Montserrat;sans-serif"/>
                <w:color w:val="000000"/>
                <w:sz w:val="18"/>
              </w:rPr>
              <w:t>increase</w:t>
              <w:br/>
              <w:t>compared to FY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tcBorders/>
            <w:tcMar>
              <w:top w:w="0" w:type="dxa"/>
              <w:left w:w="0" w:type="dxa"/>
              <w:bottom w:w="0" w:type="dxa"/>
              <w:right w:w="0" w:type="dxa"/>
            </w:tcMar>
            <w:vAlign w:val="center"/>
          </w:tcPr>
          <w:p>
            <w:pPr>
              <w:pStyle w:val="TableContents"/>
              <w:bidi w:val="0"/>
              <w:spacing w:before="120" w:after="283"/>
              <w:jc w:val="center"/>
              <w:rPr/>
            </w:pPr>
            <w:r>
              <w:rPr/>
              <w:drawing>
                <wp:inline distT="0" distB="0" distL="0" distR="0">
                  <wp:extent cx="66675" cy="66675"/>
                  <wp:effectExtent l="0" t="0" r="0" b="0"/>
                  <wp:docPr id="154"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43" descr=""/>
                          <pic:cNvPicPr>
                            <a:picLocks noChangeAspect="1" noChangeArrowheads="1"/>
                          </pic:cNvPicPr>
                        </pic:nvPicPr>
                        <pic:blipFill>
                          <a:blip r:embed="rId147"/>
                          <a:stretch>
                            <a:fillRect/>
                          </a:stretch>
                        </pic:blipFill>
                        <pic:spPr bwMode="auto">
                          <a:xfrm>
                            <a:off x="0" y="0"/>
                            <a:ext cx="66675" cy="66675"/>
                          </a:xfrm>
                          <a:prstGeom prst="rect">
                            <a:avLst/>
                          </a:prstGeom>
                        </pic:spPr>
                      </pic:pic>
                    </a:graphicData>
                  </a:graphic>
                </wp:inline>
              </w:drawing>
            </w:r>
            <w:r>
              <w:rPr>
                <w:color w:val="000000"/>
              </w:rPr>
              <w:t> </w:t>
            </w:r>
            <w:r>
              <w:rPr>
                <w:rFonts w:ascii="Montserrat;sans-serif" w:hAnsi="Montserrat;sans-serif"/>
                <w:color w:val="000000"/>
                <w:sz w:val="18"/>
              </w:rPr>
              <w:t xml:space="preserve">Revenue growth rate of </w:t>
            </w:r>
            <w:r>
              <w:rPr>
                <w:rFonts w:ascii="Montserrat;sans-serif" w:hAnsi="Montserrat;sans-serif"/>
                <w:b/>
                <w:color w:val="000000"/>
                <w:sz w:val="18"/>
              </w:rPr>
              <w:t>12.4%</w:t>
            </w:r>
            <w:r>
              <w:rPr>
                <w:rFonts w:ascii="Montserrat" w:hAnsi="Montserrat"/>
                <w:color w:val="000000"/>
                <w:sz w:val="18"/>
              </w:rPr>
              <w:t> </w:t>
            </w:r>
            <w:r>
              <w:rPr>
                <w:rFonts w:ascii="Montserrat;sans-serif" w:hAnsi="Montserrat;sans-serif"/>
                <w:color w:val="000000"/>
                <w:sz w:val="18"/>
              </w:rPr>
              <w:t xml:space="preserve">plus free cash flow margin of </w:t>
            </w:r>
            <w:r>
              <w:rPr>
                <w:rFonts w:ascii="Montserrat;sans-serif" w:hAnsi="Montserrat;sans-serif"/>
                <w:b/>
                <w:color w:val="000000"/>
                <w:sz w:val="18"/>
              </w:rPr>
              <w:t>29.5%</w:t>
            </w:r>
          </w:p>
        </w:tc>
      </w:tr>
    </w:tbl>
    <w:p>
      <w:pPr>
        <w:pStyle w:val="TextBody"/>
        <w:bidi w:val="0"/>
        <w:jc w:val="both"/>
        <w:rPr/>
      </w:pPr>
      <w:r>
        <w:rPr/>
        <w:t> </w:t>
      </w:r>
    </w:p>
    <w:p>
      <w:pPr>
        <w:pStyle w:val="TextBody"/>
        <w:bidi w:val="0"/>
        <w:spacing w:before="0" w:after="0"/>
        <w:jc w:val="both"/>
        <w:rPr>
          <w:rFonts w:ascii="Montserrat;sans-serif" w:hAnsi="Montserrat;sans-serif"/>
          <w:color w:val="000000"/>
          <w:sz w:val="16"/>
        </w:rPr>
      </w:pPr>
      <w:r>
        <w:rPr>
          <w:rFonts w:ascii="Montserrat;sans-serif" w:hAnsi="Montserrat;sans-serif"/>
          <w:color w:val="000000"/>
          <w:sz w:val="16"/>
        </w:rPr>
        <w:t>(1)</w:t>
      </w:r>
    </w:p>
    <w:p>
      <w:pPr>
        <w:pStyle w:val="TextBody"/>
        <w:bidi w:val="0"/>
        <w:spacing w:before="0" w:after="0"/>
        <w:jc w:val="both"/>
        <w:rPr>
          <w:rFonts w:ascii="Montserrat;sans-serif" w:hAnsi="Montserrat;sans-serif"/>
          <w:sz w:val="16"/>
        </w:rPr>
      </w:pPr>
      <w:r>
        <w:rPr>
          <w:rFonts w:ascii="Montserrat;sans-serif" w:hAnsi="Montserrat;sans-serif"/>
          <w:color w:val="000000"/>
          <w:sz w:val="16"/>
        </w:rPr>
        <w:t xml:space="preserve">See </w:t>
      </w:r>
      <w:r>
        <w:rPr>
          <w:rFonts w:ascii="Montserrat;sans-serif" w:hAnsi="Montserrat;sans-serif"/>
          <w:color w:val="000000"/>
          <w:sz w:val="16"/>
          <w:u w:val="single"/>
        </w:rPr>
        <w:t>Appendix A</w:t>
      </w:r>
      <w:r>
        <w:rPr>
          <w:rFonts w:ascii="Montserrat;sans-serif" w:hAnsi="Montserrat;sans-serif"/>
          <w:color w:val="000000"/>
          <w:sz w:val="16"/>
        </w:rPr>
        <w:t xml:space="preserve"> for details on how we define annual recurring revenue (“ARR”), why we monitor this performance measure, and limitations on its use. There is no measure under accounting principles generally accepted in the United States (“GAAP”) that is comparable to ARR, so we have not reconciled the ARR data included herein to any GAAP measure.</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(2)</w:t>
      </w:r>
    </w:p>
    <w:p>
      <w:pPr>
        <w:pStyle w:val="TextBody"/>
        <w:bidi w:val="0"/>
        <w:spacing w:before="120" w:after="283"/>
        <w:jc w:val="both"/>
        <w:rPr>
          <w:rFonts w:ascii="Montserrat;sans-serif" w:hAnsi="Montserrat;sans-serif"/>
          <w:sz w:val="16"/>
        </w:rPr>
      </w:pPr>
      <w:r>
        <w:rPr>
          <w:rFonts w:ascii="Montserrat;sans-serif" w:hAnsi="Montserrat;sans-serif"/>
          <w:color w:val="000000"/>
          <w:sz w:val="16"/>
        </w:rPr>
        <w:t xml:space="preserve">Free cash flow is a non-GAAP financial measure. See </w:t>
      </w:r>
      <w:r>
        <w:rPr>
          <w:rFonts w:ascii="Montserrat;sans-serif" w:hAnsi="Montserrat;sans-serif"/>
          <w:color w:val="000000"/>
          <w:sz w:val="16"/>
          <w:u w:val="single"/>
        </w:rPr>
        <w:t>Appendix A</w:t>
      </w:r>
      <w:r>
        <w:rPr>
          <w:rFonts w:ascii="Montserrat;sans-serif" w:hAnsi="Montserrat;sans-serif"/>
          <w:color w:val="000000"/>
          <w:sz w:val="16"/>
        </w:rPr>
        <w:t xml:space="preserve"> for details on how we define free cash flow, why we monitor this measure, and limitations on its use as well as a reconciliation of free cash flow to net cash provided by operating activities, which is the GAAP measure most comparable to free cash flow.</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Our overall revenue for fiscal year 2026 was $2.85 billion, representing 12% year-over-year growth. Our ARR, which we view as an important measure of our recurring subscription business, increased to $2.55 billion as of the end of fiscal year 2026, representing 16% year-over-year growth. Our free cash flow for fiscal year 2026 grew to $840.7 million, an increase of 12% compared to the prior year and resulting in a free cash flow margin of 29.5%. Our Rule of 40 score for fiscal year 2026, which we define as revenue growth rate plus free cash flow margin, was 42. Fiscal year 2026 was also our second full year of GAAP profitability. While we did face headwinds from increased hardware pricing, hardware availability and supply chain constraints that affected customer budgets and projects, our operational performance and continued progress in executing against our strategy remained solid.</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 xml:space="preserve">Beyond these financial accomplishments, in fiscal year 2026 we expanded strategic partnerships through new or enhanced agreements with AMD, Lenovo, NetApp, and NVIDIA. We also continued to enhance our cloud platform capabilities, including support for AI-related workloads and expanded support for external storage. In addition, we added approximately 3,080 new customer logos during fiscal year 2026. </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2641"/>
        <w:gridCol w:w="331"/>
      </w:tblGrid>
      <w:tr>
        <w:trPr/>
        <w:tc>
          <w:tcPr>
            <w:tcW w:w="26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155"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44" descr=""/>
                          <pic:cNvPicPr>
                            <a:picLocks noChangeAspect="1" noChangeArrowheads="1"/>
                          </pic:cNvPicPr>
                        </pic:nvPicPr>
                        <pic:blipFill>
                          <a:blip r:embed="rId148"/>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3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39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rFonts w:ascii="Montserrat;sans-serif" w:hAnsi="Montserrat;sans-serif"/>
          <w:color w:val="000000"/>
          <w:sz w:val="13"/>
        </w:rPr>
      </w:pPr>
      <w:r>
        <w:rPr>
          <w:rFonts w:ascii="Montserrat;sans-serif" w:hAnsi="Montserrat;sans-serif"/>
          <w:color w:val="000000"/>
          <w:sz w:val="13"/>
        </w:rPr>
        <w:t>Executive Compensation</w:t>
      </w:r>
    </w:p>
    <w:p>
      <w:pPr>
        <w:pStyle w:val="TextBody"/>
        <w:bidi w:val="0"/>
        <w:spacing w:before="60" w:after="283"/>
        <w:jc w:val="left"/>
        <w:rPr>
          <w:rFonts w:ascii="Montserrat;sans-serif" w:hAnsi="Montserrat;sans-serif"/>
          <w:color w:val="000000"/>
          <w:sz w:val="12"/>
        </w:rPr>
      </w:pPr>
      <w:r>
        <w:rPr>
          <w:rFonts w:ascii="Montserrat;sans-serif" w:hAnsi="Montserrat;sans-serif"/>
          <w:color w:val="000000"/>
          <w:sz w:val="12"/>
        </w:rPr>
        <w:t>Compensation Discussion and Analysis</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Montserrat;Montserrat Medium;sans-serif" w:hAnsi="Montserrat;Montserrat Medium;sans-serif"/>
          <w:b/>
          <w:color w:val="7855FA"/>
          <w:sz w:val="22"/>
        </w:rPr>
      </w:pPr>
      <w:r>
        <w:rPr>
          <w:rFonts w:ascii="Montserrat;Montserrat Medium;sans-serif" w:hAnsi="Montserrat;Montserrat Medium;sans-serif"/>
          <w:b/>
          <w:color w:val="7855FA"/>
          <w:sz w:val="22"/>
        </w:rPr>
        <w:t>Fiscal Year 2026 Compensation Highlights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Compensation Committee, in conjunction with our Board, seeks to make compensation decisions that support our business strategy, align executive pay with performance and promote long-term stockholder value creation. Fiscal year 2026 highlights include:</w:t>
      </w:r>
    </w:p>
    <w:p>
      <w:pPr>
        <w:pStyle w:val="TextBody"/>
        <w:bidi w:val="0"/>
        <w:spacing w:before="120" w:after="283"/>
        <w:jc w:val="both"/>
        <w:rPr>
          <w:color w:val="7855FA"/>
        </w:rPr>
      </w:pPr>
      <w:r>
        <w:rPr>
          <w:color w:val="7855FA"/>
        </w:rPr>
        <w:t>•</w:t>
      </w:r>
    </w:p>
    <w:p>
      <w:pPr>
        <w:pStyle w:val="TextBody"/>
        <w:bidi w:val="0"/>
        <w:spacing w:before="120" w:after="283"/>
        <w:jc w:val="both"/>
        <w:rPr>
          <w:sz w:val="18"/>
        </w:rPr>
      </w:pPr>
      <w:r>
        <w:rPr>
          <w:rFonts w:ascii="Montserrat;Montserrat Medium;sans-serif" w:hAnsi="Montserrat;Montserrat Medium;sans-serif"/>
          <w:b/>
          <w:color w:val="000000"/>
          <w:sz w:val="18"/>
        </w:rPr>
        <w:t>Annual Incentive Metrics and Results</w:t>
      </w:r>
      <w:r>
        <w:rPr>
          <w:color w:val="000000"/>
          <w:sz w:val="18"/>
        </w:rPr>
        <w:t xml:space="preserve"> – </w:t>
      </w:r>
      <w:r>
        <w:rPr>
          <w:rFonts w:ascii="Montserrat;sans-serif" w:hAnsi="Montserrat;sans-serif"/>
          <w:color w:val="000000"/>
          <w:sz w:val="18"/>
        </w:rPr>
        <w:t>For fiscal year 2026, we revised the bottom-line metric in our annual incentive plan, shifting from a margin-based metric to a dollar-denominated metric. We believe non-GAAP operating income better aligns management incentives with our objective of driving profitable growth by increasing operating profitability while continuing to invest in strategic growth initiatives. We exceeded our internal ARR target but fell modestly short of our non-GAAP operating income target, resulting in formulaic payouts of 99.7% of our NEOs’ target annual incentive opportunities. The Compensation Committee made no individual adjustments to those results.</w:t>
      </w:r>
    </w:p>
    <w:p>
      <w:pPr>
        <w:pStyle w:val="TextBody"/>
        <w:bidi w:val="0"/>
        <w:spacing w:before="120" w:after="283"/>
        <w:jc w:val="both"/>
        <w:rPr>
          <w:color w:val="7855FA"/>
        </w:rPr>
      </w:pPr>
      <w:r>
        <w:rPr>
          <w:color w:val="7855FA"/>
        </w:rPr>
        <w:t>•</w:t>
      </w:r>
    </w:p>
    <w:p>
      <w:pPr>
        <w:pStyle w:val="TextBody"/>
        <w:bidi w:val="0"/>
        <w:spacing w:before="120" w:after="283"/>
        <w:jc w:val="both"/>
        <w:rPr>
          <w:sz w:val="18"/>
        </w:rPr>
      </w:pPr>
      <w:r>
        <w:rPr>
          <w:rFonts w:ascii="Montserrat;Montserrat Medium;sans-serif" w:hAnsi="Montserrat;Montserrat Medium;sans-serif"/>
          <w:b/>
          <w:color w:val="000000"/>
          <w:sz w:val="18"/>
        </w:rPr>
        <w:t>Performance-Based Long-Term Incentive Results</w:t>
      </w:r>
      <w:r>
        <w:rPr>
          <w:color w:val="000000"/>
          <w:sz w:val="18"/>
        </w:rPr>
        <w:t xml:space="preserve"> – </w:t>
      </w:r>
      <w:r>
        <w:rPr>
          <w:rFonts w:ascii="Montserrat;sans-serif" w:hAnsi="Montserrat;sans-serif"/>
          <w:color w:val="000000"/>
          <w:sz w:val="18"/>
        </w:rPr>
        <w:t>The results of our performance-based long-term incentive awards are directly linked to our relative TSR performance compared to companies in the Nasdaq Composite Index. Our fiscal year 2024 awards paid out at maximum based on our consistent relative total shareholder return (“TSR”) top quartile performance compared to companies in the Nasdaq Composite Index from August 1, 2023 through July 31, 2026, combined with the absolute increase in our stock price over the same period. Based on the completed interim performance measurements through July 31, 2026, our fiscal year 2025 and fiscal year 2026 performance-based restricted stock unit (“PRSU”) awards achieved relative TSR rankings at the 55.6th and 36.3rd percentiles of companies in the Nasdaq Composite Index, respectively.</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Stockholder Engagement and Say-on-Pay Results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Compensation Committee considers the results of the say-on-pay vote and stockholder feedback on our executive compensation program as part of its annual review of executive compensation. At our 2025 annual meeting of stockholders, approximately 92% of the votes cast supported our say-on-pay proposal, a substantial improvement over the 73% support received in 2024. The Compensation Committee will continue to consider the results of the annual say-on-pay vote and stockholder feedback as data points in making executive compensation decisions.</w:t>
      </w:r>
    </w:p>
    <w:p>
      <w:pPr>
        <w:pStyle w:val="TextBody"/>
        <w:bidi w:val="0"/>
        <w:jc w:val="both"/>
        <w:rPr/>
      </w:pPr>
      <w:r>
        <w:rPr/>
        <w:t> </w:t>
      </w:r>
    </w:p>
    <w:tbl>
      <w:tblPr>
        <w:tblW w:w="9712" w:type="dxa"/>
        <w:jc w:val="left"/>
        <w:tblInd w:w="0" w:type="dxa"/>
        <w:tblLayout w:type="fixed"/>
        <w:tblCellMar>
          <w:top w:w="28" w:type="dxa"/>
          <w:left w:w="28" w:type="dxa"/>
          <w:bottom w:w="28" w:type="dxa"/>
          <w:right w:w="28" w:type="dxa"/>
        </w:tblCellMar>
      </w:tblPr>
      <w:tblGrid>
        <w:gridCol w:w="2101"/>
        <w:gridCol w:w="146"/>
        <w:gridCol w:w="2086"/>
        <w:gridCol w:w="146"/>
        <w:gridCol w:w="1651"/>
        <w:gridCol w:w="146"/>
        <w:gridCol w:w="343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0F0F0" w:val="clear"/>
            <w:tcMar>
              <w:top w:w="0" w:type="dxa"/>
              <w:left w:w="0" w:type="dxa"/>
              <w:bottom w:w="0" w:type="dxa"/>
              <w:right w:w="0" w:type="dxa"/>
            </w:tcMar>
            <w:vAlign w:val="center"/>
          </w:tcPr>
          <w:p>
            <w:pPr>
              <w:pStyle w:val="TableContents"/>
              <w:bidi w:val="0"/>
              <w:spacing w:before="60" w:after="283"/>
              <w:jc w:val="center"/>
              <w:rPr>
                <w:rFonts w:ascii="Montserrat Medium;sans-serif" w:hAnsi="Montserrat Medium;sans-serif"/>
                <w:sz w:val="18"/>
              </w:rPr>
            </w:pPr>
            <w:r>
              <w:rPr>
                <w:rFonts w:ascii="Montserrat;Montserrat Medium;sans-serif" w:hAnsi="Montserrat;Montserrat Medium;sans-serif"/>
                <w:b/>
                <w:color w:val="000000"/>
                <w:sz w:val="18"/>
              </w:rPr>
              <w:t>We reached out</w:t>
            </w:r>
            <w:r>
              <w:rPr>
                <w:rFonts w:ascii="Montserrat Medium;sans-serif" w:hAnsi="Montserrat Medium;sans-serif"/>
                <w:color w:val="000000"/>
                <w:sz w:val="18"/>
              </w:rPr>
              <w:t xml:space="preserve"> </w:t>
            </w:r>
          </w:p>
          <w:p>
            <w:pPr>
              <w:pStyle w:val="TableContents"/>
              <w:bidi w:val="0"/>
              <w:jc w:val="center"/>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to stockholders</w:t>
            </w:r>
          </w:p>
          <w:p>
            <w:pPr>
              <w:pStyle w:val="TableContents"/>
              <w:bidi w:val="0"/>
              <w:spacing w:before="0" w:after="283"/>
              <w:jc w:val="center"/>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representing:</w:t>
            </w:r>
          </w:p>
        </w:tc>
        <w:tc>
          <w:tcPr>
            <w:tcW w:w="146" w:type="dxa"/>
            <w:tcBorders/>
            <w:shd w:fill="FFFFFF" w:val="clear"/>
            <w:tcMar>
              <w:top w:w="0" w:type="dxa"/>
              <w:left w:w="0" w:type="dxa"/>
              <w:bottom w:w="0" w:type="dxa"/>
              <w:right w:w="0" w:type="dxa"/>
            </w:tcMar>
            <w:vAlign w:val="center"/>
          </w:tcPr>
          <w:p>
            <w:pPr>
              <w:pStyle w:val="TableContents"/>
              <w:bidi w:val="0"/>
              <w:spacing w:before="120" w:after="283"/>
              <w:jc w:val="center"/>
              <w:rPr/>
            </w:pPr>
            <w:r>
              <w:rPr/>
              <w:t> </w:t>
            </w:r>
          </w:p>
        </w:tc>
        <w:tc>
          <w:tcPr>
            <w:tcW w:w="2086" w:type="dxa"/>
            <w:tcBorders/>
            <w:shd w:fill="F0F0F0" w:val="clear"/>
            <w:tcMar>
              <w:top w:w="0" w:type="dxa"/>
              <w:left w:w="0" w:type="dxa"/>
              <w:bottom w:w="0" w:type="dxa"/>
              <w:right w:w="0" w:type="dxa"/>
            </w:tcMar>
            <w:vAlign w:val="center"/>
          </w:tcPr>
          <w:p>
            <w:pPr>
              <w:pStyle w:val="TableContents"/>
              <w:bidi w:val="0"/>
              <w:jc w:val="center"/>
              <w:rPr>
                <w:rFonts w:ascii="Montserrat Medium;sans-serif" w:hAnsi="Montserrat Medium;sans-serif"/>
                <w:sz w:val="18"/>
              </w:rPr>
            </w:pPr>
            <w:r>
              <w:rPr>
                <w:rFonts w:ascii="Montserrat;Montserrat Medium;sans-serif" w:hAnsi="Montserrat;Montserrat Medium;sans-serif"/>
                <w:b/>
                <w:color w:val="000000"/>
                <w:sz w:val="18"/>
              </w:rPr>
              <w:t>We engaged</w:t>
            </w:r>
            <w:r>
              <w:rPr>
                <w:rFonts w:ascii="Montserrat Medium;sans-serif" w:hAnsi="Montserrat Medium;sans-serif"/>
                <w:color w:val="000000"/>
                <w:sz w:val="18"/>
              </w:rPr>
              <w:t xml:space="preserve"> </w:t>
            </w:r>
          </w:p>
          <w:p>
            <w:pPr>
              <w:pStyle w:val="TableContents"/>
              <w:bidi w:val="0"/>
              <w:jc w:val="center"/>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with stockholders</w:t>
            </w:r>
          </w:p>
          <w:p>
            <w:pPr>
              <w:pStyle w:val="TableContents"/>
              <w:bidi w:val="0"/>
              <w:spacing w:before="0" w:after="283"/>
              <w:jc w:val="center"/>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representing:</w:t>
            </w:r>
          </w:p>
        </w:tc>
        <w:tc>
          <w:tcPr>
            <w:tcW w:w="146" w:type="dxa"/>
            <w:tcBorders/>
            <w:shd w:fill="FFFFFF" w:val="clear"/>
            <w:tcMar>
              <w:top w:w="0" w:type="dxa"/>
              <w:left w:w="0" w:type="dxa"/>
              <w:bottom w:w="0" w:type="dxa"/>
              <w:right w:w="0" w:type="dxa"/>
            </w:tcMar>
            <w:vAlign w:val="center"/>
          </w:tcPr>
          <w:p>
            <w:pPr>
              <w:pStyle w:val="TableContents"/>
              <w:bidi w:val="0"/>
              <w:spacing w:before="120" w:after="283"/>
              <w:jc w:val="center"/>
              <w:rPr/>
            </w:pPr>
            <w:r>
              <w:rPr/>
              <w:t> </w:t>
            </w:r>
          </w:p>
        </w:tc>
        <w:tc>
          <w:tcPr>
            <w:tcW w:w="1651" w:type="dxa"/>
            <w:tcBorders/>
            <w:shd w:fill="F0F0F0" w:val="clear"/>
            <w:tcMar>
              <w:top w:w="0" w:type="dxa"/>
              <w:left w:w="0" w:type="dxa"/>
              <w:bottom w:w="0" w:type="dxa"/>
              <w:right w:w="0" w:type="dxa"/>
            </w:tcMar>
            <w:vAlign w:val="center"/>
          </w:tcPr>
          <w:p>
            <w:pPr>
              <w:pStyle w:val="TableContents"/>
              <w:bidi w:val="0"/>
              <w:jc w:val="center"/>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We held</w:t>
            </w:r>
          </w:p>
          <w:p>
            <w:pPr>
              <w:pStyle w:val="TableContents"/>
              <w:bidi w:val="0"/>
              <w:jc w:val="center"/>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engagement</w:t>
            </w:r>
          </w:p>
          <w:p>
            <w:pPr>
              <w:pStyle w:val="TableContents"/>
              <w:bidi w:val="0"/>
              <w:spacing w:before="0" w:after="283"/>
              <w:jc w:val="center"/>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meetings with:</w:t>
            </w:r>
          </w:p>
        </w:tc>
        <w:tc>
          <w:tcPr>
            <w:tcW w:w="146" w:type="dxa"/>
            <w:tcBorders/>
            <w:shd w:fill="FFFFFF" w:val="clear"/>
            <w:tcMar>
              <w:top w:w="0" w:type="dxa"/>
              <w:left w:w="0" w:type="dxa"/>
              <w:bottom w:w="0" w:type="dxa"/>
              <w:right w:w="0" w:type="dxa"/>
            </w:tcMar>
            <w:vAlign w:val="center"/>
          </w:tcPr>
          <w:p>
            <w:pPr>
              <w:pStyle w:val="TableContents"/>
              <w:bidi w:val="0"/>
              <w:spacing w:before="120" w:after="283"/>
              <w:jc w:val="center"/>
              <w:rPr/>
            </w:pPr>
            <w:r>
              <w:rPr/>
              <w:t> </w:t>
            </w:r>
          </w:p>
        </w:tc>
        <w:tc>
          <w:tcPr>
            <w:tcW w:w="3436" w:type="dxa"/>
            <w:tcBorders/>
            <w:shd w:fill="F0F0F0" w:val="clear"/>
            <w:tcMar>
              <w:top w:w="0" w:type="dxa"/>
              <w:left w:w="0" w:type="dxa"/>
              <w:bottom w:w="0" w:type="dxa"/>
              <w:right w:w="0" w:type="dxa"/>
            </w:tcMar>
            <w:vAlign w:val="center"/>
          </w:tcPr>
          <w:p>
            <w:pPr>
              <w:pStyle w:val="TableContents"/>
              <w:bidi w:val="0"/>
              <w:spacing w:before="40" w:after="283"/>
              <w:jc w:val="center"/>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Our Board Chair participated in:</w:t>
            </w:r>
          </w:p>
        </w:tc>
      </w:tr>
      <w:tr>
        <w:trPr/>
        <w:tc>
          <w:tcPr>
            <w:tcW w:w="2101" w:type="dxa"/>
            <w:tcBorders/>
            <w:shd w:fill="F0F0F0" w:val="clear"/>
            <w:tcMar>
              <w:top w:w="0" w:type="dxa"/>
              <w:left w:w="0" w:type="dxa"/>
              <w:bottom w:w="0" w:type="dxa"/>
              <w:right w:w="0" w:type="dxa"/>
            </w:tcMar>
            <w:vAlign w:val="center"/>
          </w:tcPr>
          <w:p>
            <w:pPr>
              <w:pStyle w:val="TableContents"/>
              <w:bidi w:val="0"/>
              <w:spacing w:before="60" w:after="283"/>
              <w:jc w:val="center"/>
              <w:rPr>
                <w:rFonts w:ascii="Montserrat;sans-serif" w:hAnsi="Montserrat;sans-serif"/>
                <w:b/>
                <w:color w:val="7855FA"/>
                <w:sz w:val="28"/>
              </w:rPr>
            </w:pPr>
            <w:r>
              <w:rPr>
                <w:rFonts w:ascii="Montserrat;sans-serif" w:hAnsi="Montserrat;sans-serif"/>
                <w:b/>
                <w:color w:val="7855FA"/>
                <w:sz w:val="28"/>
              </w:rPr>
              <w:t>&gt; 59%</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c>
          <w:tcPr>
            <w:tcW w:w="2086" w:type="dxa"/>
            <w:tcBorders/>
            <w:shd w:fill="F0F0F0" w:val="clear"/>
            <w:tcMar>
              <w:top w:w="0" w:type="dxa"/>
              <w:left w:w="0" w:type="dxa"/>
              <w:bottom w:w="0" w:type="dxa"/>
              <w:right w:w="0" w:type="dxa"/>
            </w:tcMar>
            <w:vAlign w:val="center"/>
          </w:tcPr>
          <w:p>
            <w:pPr>
              <w:pStyle w:val="TableContents"/>
              <w:bidi w:val="0"/>
              <w:spacing w:before="60" w:after="283"/>
              <w:jc w:val="center"/>
              <w:rPr>
                <w:rFonts w:ascii="Montserrat;sans-serif" w:hAnsi="Montserrat;sans-serif"/>
                <w:b/>
                <w:color w:val="7855FA"/>
                <w:sz w:val="28"/>
              </w:rPr>
            </w:pPr>
            <w:r>
              <w:rPr>
                <w:rFonts w:ascii="Montserrat;sans-serif" w:hAnsi="Montserrat;sans-serif"/>
                <w:b/>
                <w:color w:val="7855FA"/>
                <w:sz w:val="28"/>
              </w:rPr>
              <w:t>&gt; 15%</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c>
          <w:tcPr>
            <w:tcW w:w="1651" w:type="dxa"/>
            <w:tcBorders/>
            <w:shd w:fill="F0F0F0" w:val="clear"/>
            <w:tcMar>
              <w:top w:w="0" w:type="dxa"/>
              <w:left w:w="0" w:type="dxa"/>
              <w:bottom w:w="0" w:type="dxa"/>
              <w:right w:w="0" w:type="dxa"/>
            </w:tcMar>
            <w:vAlign w:val="center"/>
          </w:tcPr>
          <w:p>
            <w:pPr>
              <w:pStyle w:val="TableContents"/>
              <w:bidi w:val="0"/>
              <w:spacing w:before="60" w:after="283"/>
              <w:jc w:val="center"/>
              <w:rPr>
                <w:rFonts w:ascii="Montserrat;sans-serif" w:hAnsi="Montserrat;sans-serif"/>
                <w:b/>
                <w:color w:val="7855FA"/>
                <w:sz w:val="28"/>
              </w:rPr>
            </w:pPr>
            <w:r>
              <w:rPr>
                <w:rFonts w:ascii="Montserrat;sans-serif" w:hAnsi="Montserrat;sans-serif"/>
                <w:b/>
                <w:color w:val="7855FA"/>
                <w:sz w:val="28"/>
              </w:rPr>
              <w:t>4</w:t>
            </w:r>
          </w:p>
        </w:tc>
        <w:tc>
          <w:tcPr>
            <w:tcW w:w="146" w:type="dxa"/>
            <w:tcBorders/>
            <w:shd w:fill="FFFFFF" w:val="clear"/>
            <w:tcMar>
              <w:top w:w="0" w:type="dxa"/>
              <w:left w:w="0" w:type="dxa"/>
              <w:bottom w:w="0" w:type="dxa"/>
              <w:right w:w="0" w:type="dxa"/>
            </w:tcMar>
            <w:vAlign w:val="center"/>
          </w:tcPr>
          <w:p>
            <w:pPr>
              <w:pStyle w:val="TableContents"/>
              <w:bidi w:val="0"/>
              <w:spacing w:before="60" w:after="283"/>
              <w:jc w:val="center"/>
              <w:rPr/>
            </w:pPr>
            <w:r>
              <w:rPr/>
              <w:t> </w:t>
            </w:r>
          </w:p>
        </w:tc>
        <w:tc>
          <w:tcPr>
            <w:tcW w:w="3436" w:type="dxa"/>
            <w:tcBorders/>
            <w:shd w:fill="F0F0F0" w:val="clear"/>
            <w:tcMar>
              <w:top w:w="0" w:type="dxa"/>
              <w:left w:w="0" w:type="dxa"/>
              <w:bottom w:w="0" w:type="dxa"/>
              <w:right w:w="0" w:type="dxa"/>
            </w:tcMar>
            <w:vAlign w:val="center"/>
          </w:tcPr>
          <w:p>
            <w:pPr>
              <w:pStyle w:val="TableContents"/>
              <w:bidi w:val="0"/>
              <w:spacing w:before="60" w:after="283"/>
              <w:jc w:val="center"/>
              <w:rPr>
                <w:rFonts w:ascii="Montserrat;sans-serif" w:hAnsi="Montserrat;sans-serif"/>
                <w:b/>
                <w:color w:val="7855FA"/>
                <w:sz w:val="28"/>
              </w:rPr>
            </w:pPr>
            <w:r>
              <w:rPr>
                <w:rFonts w:ascii="Montserrat;sans-serif" w:hAnsi="Montserrat;sans-serif"/>
                <w:b/>
                <w:color w:val="7855FA"/>
                <w:sz w:val="28"/>
              </w:rPr>
              <w:t>100%</w:t>
            </w:r>
          </w:p>
        </w:tc>
      </w:tr>
      <w:tr>
        <w:trPr/>
        <w:tc>
          <w:tcPr>
            <w:tcW w:w="2101" w:type="dxa"/>
            <w:tcBorders/>
            <w:shd w:fill="F0F0F0" w:val="clear"/>
            <w:tcMar>
              <w:top w:w="0" w:type="dxa"/>
              <w:left w:w="0" w:type="dxa"/>
              <w:bottom w:w="0" w:type="dxa"/>
              <w:right w:w="0" w:type="dxa"/>
            </w:tcMar>
            <w:vAlign w:val="center"/>
          </w:tcPr>
          <w:p>
            <w:pPr>
              <w:pStyle w:val="TableContents"/>
              <w:bidi w:val="0"/>
              <w:spacing w:before="40" w:after="283"/>
              <w:jc w:val="center"/>
              <w:rPr>
                <w:rFonts w:ascii="Montserrat Medium;sans-serif" w:hAnsi="Montserrat Medium;sans-serif"/>
                <w:sz w:val="18"/>
              </w:rPr>
            </w:pPr>
            <w:r>
              <w:rPr>
                <w:rFonts w:ascii="Montserrat;Montserrat Medium;sans-serif" w:hAnsi="Montserrat;Montserrat Medium;sans-serif"/>
                <w:b/>
                <w:color w:val="000000"/>
                <w:sz w:val="18"/>
              </w:rPr>
              <w:t>of our outstanding</w:t>
            </w:r>
            <w:r>
              <w:rPr>
                <w:rFonts w:ascii="Montserrat Medium;sans-serif" w:hAnsi="Montserrat Medium;sans-serif"/>
                <w:color w:val="000000"/>
                <w:sz w:val="18"/>
              </w:rPr>
              <w:t xml:space="preserve"> </w:t>
            </w:r>
          </w:p>
          <w:p>
            <w:pPr>
              <w:pStyle w:val="TableContents"/>
              <w:bidi w:val="0"/>
              <w:spacing w:before="0" w:after="60"/>
              <w:jc w:val="center"/>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stock</w:t>
            </w:r>
          </w:p>
        </w:tc>
        <w:tc>
          <w:tcPr>
            <w:tcW w:w="146" w:type="dxa"/>
            <w:tcBorders/>
            <w:shd w:fill="FFFFFF" w:val="clear"/>
            <w:tcMar>
              <w:top w:w="0" w:type="dxa"/>
              <w:left w:w="0" w:type="dxa"/>
              <w:bottom w:w="0" w:type="dxa"/>
              <w:right w:w="0" w:type="dxa"/>
            </w:tcMar>
            <w:vAlign w:val="center"/>
          </w:tcPr>
          <w:p>
            <w:pPr>
              <w:pStyle w:val="TableContents"/>
              <w:bidi w:val="0"/>
              <w:spacing w:before="40" w:after="283"/>
              <w:jc w:val="center"/>
              <w:rPr/>
            </w:pPr>
            <w:r>
              <w:rPr/>
              <w:t> </w:t>
            </w:r>
          </w:p>
        </w:tc>
        <w:tc>
          <w:tcPr>
            <w:tcW w:w="2086" w:type="dxa"/>
            <w:tcBorders/>
            <w:shd w:fill="F0F0F0" w:val="clear"/>
            <w:tcMar>
              <w:top w:w="0" w:type="dxa"/>
              <w:left w:w="0" w:type="dxa"/>
              <w:bottom w:w="0" w:type="dxa"/>
              <w:right w:w="0" w:type="dxa"/>
            </w:tcMar>
            <w:vAlign w:val="center"/>
          </w:tcPr>
          <w:p>
            <w:pPr>
              <w:pStyle w:val="TableContents"/>
              <w:bidi w:val="0"/>
              <w:spacing w:before="40" w:after="283"/>
              <w:jc w:val="center"/>
              <w:rPr>
                <w:rFonts w:ascii="Montserrat Medium;sans-serif" w:hAnsi="Montserrat Medium;sans-serif"/>
                <w:sz w:val="18"/>
              </w:rPr>
            </w:pPr>
            <w:r>
              <w:rPr>
                <w:rFonts w:ascii="Montserrat;Montserrat Medium;sans-serif" w:hAnsi="Montserrat;Montserrat Medium;sans-serif"/>
                <w:b/>
                <w:color w:val="000000"/>
                <w:sz w:val="18"/>
              </w:rPr>
              <w:t>of our outstanding</w:t>
            </w:r>
            <w:r>
              <w:rPr>
                <w:rFonts w:ascii="Montserrat Medium;sans-serif" w:hAnsi="Montserrat Medium;sans-serif"/>
                <w:color w:val="000000"/>
                <w:sz w:val="18"/>
              </w:rPr>
              <w:t xml:space="preserve"> </w:t>
            </w:r>
          </w:p>
          <w:p>
            <w:pPr>
              <w:pStyle w:val="TableContents"/>
              <w:bidi w:val="0"/>
              <w:spacing w:before="0" w:after="60"/>
              <w:jc w:val="center"/>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stock</w:t>
            </w:r>
          </w:p>
        </w:tc>
        <w:tc>
          <w:tcPr>
            <w:tcW w:w="146" w:type="dxa"/>
            <w:tcBorders/>
            <w:shd w:fill="FFFFFF" w:val="clear"/>
            <w:tcMar>
              <w:top w:w="0" w:type="dxa"/>
              <w:left w:w="0" w:type="dxa"/>
              <w:bottom w:w="0" w:type="dxa"/>
              <w:right w:w="0" w:type="dxa"/>
            </w:tcMar>
            <w:vAlign w:val="center"/>
          </w:tcPr>
          <w:p>
            <w:pPr>
              <w:pStyle w:val="TableContents"/>
              <w:bidi w:val="0"/>
              <w:spacing w:before="40" w:after="283"/>
              <w:jc w:val="center"/>
              <w:rPr/>
            </w:pPr>
            <w:r>
              <w:rPr/>
              <w:t> </w:t>
            </w:r>
          </w:p>
        </w:tc>
        <w:tc>
          <w:tcPr>
            <w:tcW w:w="1651" w:type="dxa"/>
            <w:tcBorders/>
            <w:shd w:fill="F0F0F0" w:val="clear"/>
            <w:tcMar>
              <w:top w:w="0" w:type="dxa"/>
              <w:left w:w="0" w:type="dxa"/>
              <w:bottom w:w="0" w:type="dxa"/>
              <w:right w:w="0" w:type="dxa"/>
            </w:tcMar>
            <w:vAlign w:val="center"/>
          </w:tcPr>
          <w:p>
            <w:pPr>
              <w:pStyle w:val="TableContents"/>
              <w:bidi w:val="0"/>
              <w:spacing w:before="40" w:after="283"/>
              <w:jc w:val="center"/>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of our Top 20</w:t>
            </w:r>
          </w:p>
          <w:p>
            <w:pPr>
              <w:pStyle w:val="TableContents"/>
              <w:bidi w:val="0"/>
              <w:spacing w:before="0" w:after="283"/>
              <w:jc w:val="center"/>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stockholders</w:t>
            </w:r>
          </w:p>
        </w:tc>
        <w:tc>
          <w:tcPr>
            <w:tcW w:w="146" w:type="dxa"/>
            <w:tcBorders/>
            <w:shd w:fill="FFFFFF" w:val="clear"/>
            <w:tcMar>
              <w:top w:w="0" w:type="dxa"/>
              <w:left w:w="0" w:type="dxa"/>
              <w:bottom w:w="0" w:type="dxa"/>
              <w:right w:w="0" w:type="dxa"/>
            </w:tcMar>
            <w:vAlign w:val="center"/>
          </w:tcPr>
          <w:p>
            <w:pPr>
              <w:pStyle w:val="TableContents"/>
              <w:bidi w:val="0"/>
              <w:spacing w:before="40" w:after="283"/>
              <w:jc w:val="center"/>
              <w:rPr/>
            </w:pPr>
            <w:r>
              <w:rPr/>
              <w:t> </w:t>
            </w:r>
          </w:p>
        </w:tc>
        <w:tc>
          <w:tcPr>
            <w:tcW w:w="3436" w:type="dxa"/>
            <w:tcBorders/>
            <w:shd w:fill="F0F0F0" w:val="clear"/>
            <w:tcMar>
              <w:top w:w="0" w:type="dxa"/>
              <w:left w:w="0" w:type="dxa"/>
              <w:bottom w:w="0" w:type="dxa"/>
              <w:right w:w="0" w:type="dxa"/>
            </w:tcMar>
            <w:vAlign w:val="center"/>
          </w:tcPr>
          <w:p>
            <w:pPr>
              <w:pStyle w:val="TableContents"/>
              <w:bidi w:val="0"/>
              <w:spacing w:before="40" w:after="283"/>
              <w:jc w:val="center"/>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of our engagements</w:t>
            </w:r>
          </w:p>
          <w:p>
            <w:pPr>
              <w:pStyle w:val="TableContents"/>
              <w:bidi w:val="0"/>
              <w:spacing w:before="0" w:after="60"/>
              <w:jc w:val="center"/>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with Top 20 stockholders</w:t>
            </w:r>
          </w:p>
        </w:tc>
      </w:tr>
    </w:tbl>
    <w:p>
      <w:pPr>
        <w:pStyle w:val="TextBody"/>
        <w:bidi w:val="0"/>
        <w:jc w:val="both"/>
        <w:rPr/>
      </w:pPr>
      <w:r>
        <w:rPr/>
        <w:t> </w:t>
      </w:r>
    </w:p>
    <w:p>
      <w:pPr>
        <w:pStyle w:val="TextBody"/>
        <w:bidi w:val="0"/>
        <w:jc w:val="both"/>
        <w:rPr>
          <w:rFonts w:ascii="Montserrat;sans-serif" w:hAnsi="Montserrat;sans-serif"/>
          <w:color w:val="000000"/>
          <w:sz w:val="18"/>
        </w:rPr>
      </w:pPr>
      <w:r>
        <w:rPr>
          <w:rFonts w:ascii="Montserrat;sans-serif" w:hAnsi="Montserrat;sans-serif"/>
          <w:color w:val="000000"/>
          <w:sz w:val="18"/>
        </w:rPr>
        <w:t xml:space="preserve">Topics covered in our compensation-related engagements included: the design of our executive compensation program, the structure of our performance-based equity awards, our executive compensation philosophy, talent retention and incentive compensation, and governance and oversight matters informing the Compensation Committee’s decisions. These engagements included participation by our Chair of the Board. </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301"/>
        <w:gridCol w:w="2671"/>
      </w:tblGrid>
      <w:tr>
        <w:trPr/>
        <w:tc>
          <w:tcPr>
            <w:tcW w:w="30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40</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156"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45" descr=""/>
                          <pic:cNvPicPr>
                            <a:picLocks noChangeAspect="1" noChangeArrowheads="1"/>
                          </pic:cNvPicPr>
                        </pic:nvPicPr>
                        <pic:blipFill>
                          <a:blip r:embed="rId149"/>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rFonts w:ascii="Montserrat;sans-serif" w:hAnsi="Montserrat;sans-serif"/>
          <w:color w:val="000000"/>
          <w:sz w:val="13"/>
        </w:rPr>
      </w:pPr>
      <w:r>
        <w:rPr>
          <w:rFonts w:ascii="Montserrat;sans-serif" w:hAnsi="Montserrat;sans-serif"/>
          <w:color w:val="000000"/>
          <w:sz w:val="13"/>
        </w:rPr>
        <w:t>Executive Compensation</w:t>
      </w:r>
    </w:p>
    <w:p>
      <w:pPr>
        <w:pStyle w:val="TextBody"/>
        <w:bidi w:val="0"/>
        <w:spacing w:before="60" w:after="283"/>
        <w:jc w:val="right"/>
        <w:rPr>
          <w:rFonts w:ascii="Montserrat;sans-serif" w:hAnsi="Montserrat;sans-serif"/>
          <w:color w:val="000000"/>
          <w:sz w:val="12"/>
        </w:rPr>
      </w:pPr>
      <w:r>
        <w:rPr>
          <w:rFonts w:ascii="Montserrat;sans-serif" w:hAnsi="Montserrat;sans-serif"/>
          <w:color w:val="000000"/>
          <w:sz w:val="12"/>
        </w:rPr>
        <w:t>Compensation Discussion and Analysis</w:t>
      </w:r>
    </w:p>
    <w:p>
      <w:pPr>
        <w:pStyle w:val="TextBody"/>
        <w:bidi w:val="0"/>
        <w:jc w:val="right"/>
        <w:rPr/>
      </w:pPr>
      <w:r>
        <w:rPr/>
        <w:t> </w:t>
      </w:r>
    </w:p>
    <w:p>
      <w:pPr>
        <w:pStyle w:val="TextBody"/>
        <w:bidi w:val="0"/>
        <w:jc w:val="right"/>
        <w:rPr/>
      </w:pPr>
      <w:r>
        <w:rPr/>
        <w:t> </w:t>
      </w:r>
    </w:p>
    <w:p>
      <w:pPr>
        <w:pStyle w:val="TextBody"/>
        <w:bidi w:val="0"/>
        <w:jc w:val="left"/>
        <w:rPr>
          <w:rFonts w:ascii="Montserrat;Montserrat Medium;sans-serif" w:hAnsi="Montserrat;Montserrat Medium;sans-serif"/>
          <w:b/>
          <w:color w:val="7855FA"/>
          <w:sz w:val="22"/>
        </w:rPr>
      </w:pPr>
      <w:r>
        <w:rPr>
          <w:rFonts w:ascii="Montserrat;Montserrat Medium;sans-serif" w:hAnsi="Montserrat;Montserrat Medium;sans-serif"/>
          <w:b/>
          <w:color w:val="7855FA"/>
          <w:sz w:val="22"/>
        </w:rPr>
        <w:t>Executive Compensation Practices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We maintain executive compensation policies and practices consistent with sound governance standards. The Compensation Committee evaluates our executive compensation program on a regular basis to ensure alignment with our short-term and long-term goals, given the dynamic nature of our business and the market in which we compete for executive talent. The following policies and practices were in effect during fiscal year 2026:</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56"/>
        <w:gridCol w:w="5036"/>
        <w:gridCol w:w="146"/>
        <w:gridCol w:w="341"/>
        <w:gridCol w:w="4326"/>
      </w:tblGrid>
      <w:tr>
        <w:trPr/>
        <w:tc>
          <w:tcPr>
            <w:tcW w:w="356" w:type="dxa"/>
            <w:tcBorders/>
            <w:vAlign w:val="center"/>
          </w:tcPr>
          <w:p>
            <w:pPr>
              <w:pStyle w:val="TableContents"/>
              <w:bidi w:val="0"/>
              <w:spacing w:before="0" w:after="283"/>
              <w:jc w:val="left"/>
              <w:rPr>
                <w:sz w:val="4"/>
                <w:szCs w:val="4"/>
              </w:rPr>
            </w:pPr>
            <w:r>
              <w:rPr>
                <w:sz w:val="4"/>
                <w:szCs w:val="4"/>
              </w:rPr>
            </w:r>
          </w:p>
        </w:tc>
        <w:tc>
          <w:tcPr>
            <w:tcW w:w="5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326" w:type="dxa"/>
            <w:tcBorders/>
            <w:vAlign w:val="center"/>
          </w:tcPr>
          <w:p>
            <w:pPr>
              <w:pStyle w:val="TableContents"/>
              <w:bidi w:val="0"/>
              <w:spacing w:before="0" w:after="283"/>
              <w:jc w:val="left"/>
              <w:rPr>
                <w:sz w:val="4"/>
                <w:szCs w:val="4"/>
              </w:rPr>
            </w:pPr>
            <w:r>
              <w:rPr>
                <w:sz w:val="4"/>
                <w:szCs w:val="4"/>
              </w:rPr>
            </w:r>
          </w:p>
        </w:tc>
      </w:tr>
      <w:tr>
        <w:trPr/>
        <w:tc>
          <w:tcPr>
            <w:tcW w:w="5392" w:type="dxa"/>
            <w:gridSpan w:val="2"/>
            <w:tcBorders>
              <w:bottom w:val="single" w:sz="4" w:space="0" w:color="7855FA"/>
            </w:tcBorders>
            <w:tcMar>
              <w:top w:w="0" w:type="dxa"/>
              <w:left w:w="0" w:type="dxa"/>
              <w:right w:w="0" w:type="dxa"/>
            </w:tcMar>
            <w:vAlign w:val="center"/>
          </w:tcPr>
          <w:p>
            <w:pPr>
              <w:pStyle w:val="TableContents"/>
              <w:bidi w:val="0"/>
              <w:spacing w:before="20" w:after="20"/>
              <w:jc w:val="left"/>
              <w:rPr>
                <w:rFonts w:ascii="Montserrat;sans-serif" w:hAnsi="Montserrat;sans-serif"/>
                <w:b/>
                <w:color w:val="7855FA"/>
                <w:sz w:val="18"/>
              </w:rPr>
            </w:pPr>
            <w:r>
              <w:rPr>
                <w:rFonts w:ascii="Montserrat;sans-serif" w:hAnsi="Montserrat;sans-serif"/>
                <w:b/>
                <w:color w:val="7855FA"/>
                <w:sz w:val="18"/>
              </w:rPr>
              <w:t>What We Do</w:t>
            </w:r>
          </w:p>
        </w:tc>
        <w:tc>
          <w:tcPr>
            <w:tcW w:w="146" w:type="dxa"/>
            <w:tcBorders>
              <w:bottom w:val="single" w:sz="4" w:space="0" w:color="000000"/>
            </w:tcBorders>
            <w:tcMar>
              <w:top w:w="0" w:type="dxa"/>
              <w:left w:w="0" w:type="dxa"/>
              <w:right w:w="0" w:type="dxa"/>
            </w:tcMar>
            <w:vAlign w:val="center"/>
          </w:tcPr>
          <w:p>
            <w:pPr>
              <w:pStyle w:val="TableContents"/>
              <w:bidi w:val="0"/>
              <w:spacing w:before="20" w:after="20"/>
              <w:jc w:val="left"/>
              <w:rPr/>
            </w:pPr>
            <w:r>
              <w:rPr/>
              <w:t> </w:t>
            </w:r>
          </w:p>
        </w:tc>
        <w:tc>
          <w:tcPr>
            <w:tcW w:w="4667" w:type="dxa"/>
            <w:gridSpan w:val="2"/>
            <w:tcBorders>
              <w:bottom w:val="single" w:sz="4" w:space="0" w:color="7855FA"/>
            </w:tcBorders>
            <w:tcMar>
              <w:top w:w="0" w:type="dxa"/>
              <w:left w:w="0" w:type="dxa"/>
              <w:right w:w="0" w:type="dxa"/>
            </w:tcMar>
            <w:vAlign w:val="center"/>
          </w:tcPr>
          <w:p>
            <w:pPr>
              <w:pStyle w:val="TableContents"/>
              <w:bidi w:val="0"/>
              <w:spacing w:before="20" w:after="20"/>
              <w:jc w:val="left"/>
              <w:rPr>
                <w:rFonts w:ascii="Montserrat;sans-serif" w:hAnsi="Montserrat;sans-serif"/>
                <w:b/>
                <w:color w:val="7855FA"/>
                <w:sz w:val="18"/>
              </w:rPr>
            </w:pPr>
            <w:r>
              <w:rPr>
                <w:rFonts w:ascii="Montserrat;sans-serif" w:hAnsi="Montserrat;sans-serif"/>
                <w:b/>
                <w:color w:val="7855FA"/>
                <w:sz w:val="18"/>
              </w:rPr>
              <w:t>What We Don’t Do</w:t>
            </w:r>
          </w:p>
        </w:tc>
      </w:tr>
      <w:tr>
        <w:trPr/>
        <w:tc>
          <w:tcPr>
            <w:tcW w:w="356" w:type="dxa"/>
            <w:tcBorders>
              <w:bottom w:val="single" w:sz="4" w:space="0" w:color="444444"/>
            </w:tcBorders>
            <w:tcMar>
              <w:top w:w="0" w:type="dxa"/>
              <w:left w:w="0" w:type="dxa"/>
              <w:right w:w="0" w:type="dxa"/>
            </w:tcMar>
            <w:vAlign w:val="center"/>
          </w:tcPr>
          <w:p>
            <w:pPr>
              <w:pStyle w:val="TableContents"/>
              <w:bidi w:val="0"/>
              <w:spacing w:before="20" w:after="20"/>
              <w:jc w:val="center"/>
              <w:rPr/>
            </w:pPr>
            <w:r>
              <w:rPr/>
              <w:drawing>
                <wp:inline distT="0" distB="0" distL="0" distR="0">
                  <wp:extent cx="161925" cy="161925"/>
                  <wp:effectExtent l="0" t="0" r="0" b="0"/>
                  <wp:docPr id="157"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46" descr=""/>
                          <pic:cNvPicPr>
                            <a:picLocks noChangeAspect="1" noChangeArrowheads="1"/>
                          </pic:cNvPicPr>
                        </pic:nvPicPr>
                        <pic:blipFill>
                          <a:blip r:embed="rId150"/>
                          <a:stretch>
                            <a:fillRect/>
                          </a:stretch>
                        </pic:blipFill>
                        <pic:spPr bwMode="auto">
                          <a:xfrm>
                            <a:off x="0" y="0"/>
                            <a:ext cx="161925" cy="161925"/>
                          </a:xfrm>
                          <a:prstGeom prst="rect">
                            <a:avLst/>
                          </a:prstGeom>
                        </pic:spPr>
                      </pic:pic>
                    </a:graphicData>
                  </a:graphic>
                </wp:inline>
              </w:drawing>
            </w:r>
          </w:p>
        </w:tc>
        <w:tc>
          <w:tcPr>
            <w:tcW w:w="5036" w:type="dxa"/>
            <w:tcBorders>
              <w:bottom w:val="single" w:sz="4" w:space="0" w:color="444444"/>
            </w:tcBorders>
            <w:tcMar>
              <w:top w:w="0" w:type="dxa"/>
              <w:left w:w="0" w:type="dxa"/>
              <w:right w:w="0" w:type="dxa"/>
            </w:tcMar>
            <w:vAlign w:val="center"/>
          </w:tcPr>
          <w:p>
            <w:pPr>
              <w:pStyle w:val="TableContents"/>
              <w:bidi w:val="0"/>
              <w:spacing w:before="40" w:after="40"/>
              <w:jc w:val="left"/>
              <w:rPr>
                <w:rFonts w:ascii="Montserrat;sans-serif" w:hAnsi="Montserrat;sans-serif"/>
                <w:color w:val="000000"/>
                <w:sz w:val="18"/>
              </w:rPr>
            </w:pPr>
            <w:r>
              <w:rPr>
                <w:rFonts w:ascii="Montserrat;sans-serif" w:hAnsi="Montserrat;sans-serif"/>
                <w:color w:val="000000"/>
                <w:sz w:val="18"/>
              </w:rPr>
              <w:t>Emphasize performance-based compensation with a balance between short-term and long-term incentives</w:t>
            </w:r>
          </w:p>
        </w:tc>
        <w:tc>
          <w:tcPr>
            <w:tcW w:w="146" w:type="dxa"/>
            <w:tcBorders>
              <w:bottom w:val="single" w:sz="4" w:space="0" w:color="000000"/>
            </w:tcBorders>
            <w:tcMar>
              <w:top w:w="0" w:type="dxa"/>
              <w:left w:w="0" w:type="dxa"/>
              <w:right w:w="0" w:type="dxa"/>
            </w:tcMar>
            <w:vAlign w:val="center"/>
          </w:tcPr>
          <w:p>
            <w:pPr>
              <w:pStyle w:val="TableContents"/>
              <w:bidi w:val="0"/>
              <w:spacing w:before="20" w:after="20"/>
              <w:jc w:val="left"/>
              <w:rPr/>
            </w:pPr>
            <w:r>
              <w:rPr/>
              <w:t> </w:t>
            </w:r>
          </w:p>
        </w:tc>
        <w:tc>
          <w:tcPr>
            <w:tcW w:w="341" w:type="dxa"/>
            <w:tcBorders>
              <w:bottom w:val="single" w:sz="4" w:space="0" w:color="444444"/>
            </w:tcBorders>
            <w:tcMar>
              <w:top w:w="0" w:type="dxa"/>
              <w:left w:w="0" w:type="dxa"/>
              <w:right w:w="0" w:type="dxa"/>
            </w:tcMar>
            <w:vAlign w:val="center"/>
          </w:tcPr>
          <w:p>
            <w:pPr>
              <w:pStyle w:val="TableContents"/>
              <w:bidi w:val="0"/>
              <w:spacing w:before="20" w:after="20"/>
              <w:jc w:val="center"/>
              <w:rPr/>
            </w:pPr>
            <w:r>
              <w:rPr/>
              <w:drawing>
                <wp:inline distT="0" distB="0" distL="0" distR="0">
                  <wp:extent cx="161925" cy="161925"/>
                  <wp:effectExtent l="0" t="0" r="0" b="0"/>
                  <wp:docPr id="158"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47" descr=""/>
                          <pic:cNvPicPr>
                            <a:picLocks noChangeAspect="1" noChangeArrowheads="1"/>
                          </pic:cNvPicPr>
                        </pic:nvPicPr>
                        <pic:blipFill>
                          <a:blip r:embed="rId151"/>
                          <a:stretch>
                            <a:fillRect/>
                          </a:stretch>
                        </pic:blipFill>
                        <pic:spPr bwMode="auto">
                          <a:xfrm>
                            <a:off x="0" y="0"/>
                            <a:ext cx="161925" cy="161925"/>
                          </a:xfrm>
                          <a:prstGeom prst="rect">
                            <a:avLst/>
                          </a:prstGeom>
                        </pic:spPr>
                      </pic:pic>
                    </a:graphicData>
                  </a:graphic>
                </wp:inline>
              </w:drawing>
            </w:r>
          </w:p>
        </w:tc>
        <w:tc>
          <w:tcPr>
            <w:tcW w:w="4326" w:type="dxa"/>
            <w:tcBorders>
              <w:bottom w:val="single" w:sz="4" w:space="0" w:color="444444"/>
            </w:tcBorders>
            <w:tcMar>
              <w:top w:w="0" w:type="dxa"/>
              <w:left w:w="0" w:type="dxa"/>
              <w:right w:w="0" w:type="dxa"/>
            </w:tcMar>
            <w:vAlign w:val="center"/>
          </w:tcPr>
          <w:p>
            <w:pPr>
              <w:pStyle w:val="TableContents"/>
              <w:bidi w:val="0"/>
              <w:spacing w:before="40" w:after="40"/>
              <w:jc w:val="left"/>
              <w:rPr>
                <w:rFonts w:ascii="Montserrat;sans-serif" w:hAnsi="Montserrat;sans-serif"/>
                <w:color w:val="000000"/>
                <w:sz w:val="18"/>
              </w:rPr>
            </w:pPr>
            <w:r>
              <w:rPr>
                <w:rFonts w:ascii="Montserrat;sans-serif" w:hAnsi="Montserrat;sans-serif"/>
                <w:color w:val="000000"/>
                <w:sz w:val="18"/>
              </w:rPr>
              <w:t>Provide retirement or pension-type plans, other than the standard 401(k) plan offered to all employees</w:t>
            </w:r>
          </w:p>
        </w:tc>
      </w:tr>
      <w:tr>
        <w:trPr/>
        <w:tc>
          <w:tcPr>
            <w:tcW w:w="356" w:type="dxa"/>
            <w:tcBorders>
              <w:bottom w:val="single" w:sz="4" w:space="0" w:color="000000"/>
            </w:tcBorders>
            <w:tcMar>
              <w:top w:w="0" w:type="dxa"/>
              <w:left w:w="0" w:type="dxa"/>
              <w:right w:w="0" w:type="dxa"/>
            </w:tcMar>
            <w:vAlign w:val="center"/>
          </w:tcPr>
          <w:p>
            <w:pPr>
              <w:pStyle w:val="TableContents"/>
              <w:bidi w:val="0"/>
              <w:spacing w:before="20" w:after="20"/>
              <w:jc w:val="center"/>
              <w:rPr/>
            </w:pPr>
            <w:r>
              <w:rPr/>
              <w:drawing>
                <wp:inline distT="0" distB="0" distL="0" distR="0">
                  <wp:extent cx="161925" cy="161925"/>
                  <wp:effectExtent l="0" t="0" r="0" b="0"/>
                  <wp:docPr id="159"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48" descr=""/>
                          <pic:cNvPicPr>
                            <a:picLocks noChangeAspect="1" noChangeArrowheads="1"/>
                          </pic:cNvPicPr>
                        </pic:nvPicPr>
                        <pic:blipFill>
                          <a:blip r:embed="rId152"/>
                          <a:stretch>
                            <a:fillRect/>
                          </a:stretch>
                        </pic:blipFill>
                        <pic:spPr bwMode="auto">
                          <a:xfrm>
                            <a:off x="0" y="0"/>
                            <a:ext cx="161925" cy="161925"/>
                          </a:xfrm>
                          <a:prstGeom prst="rect">
                            <a:avLst/>
                          </a:prstGeom>
                        </pic:spPr>
                      </pic:pic>
                    </a:graphicData>
                  </a:graphic>
                </wp:inline>
              </w:drawing>
            </w:r>
          </w:p>
        </w:tc>
        <w:tc>
          <w:tcPr>
            <w:tcW w:w="5036" w:type="dxa"/>
            <w:tcBorders>
              <w:bottom w:val="single" w:sz="4" w:space="0" w:color="000000"/>
            </w:tcBorders>
            <w:tcMar>
              <w:top w:w="0" w:type="dxa"/>
              <w:left w:w="0" w:type="dxa"/>
              <w:right w:w="0" w:type="dxa"/>
            </w:tcMar>
            <w:vAlign w:val="center"/>
          </w:tcPr>
          <w:p>
            <w:pPr>
              <w:pStyle w:val="TableContents"/>
              <w:bidi w:val="0"/>
              <w:spacing w:before="40" w:after="40"/>
              <w:jc w:val="left"/>
              <w:rPr>
                <w:rFonts w:ascii="Montserrat;sans-serif" w:hAnsi="Montserrat;sans-serif"/>
                <w:color w:val="000000"/>
                <w:sz w:val="18"/>
              </w:rPr>
            </w:pPr>
            <w:r>
              <w:rPr>
                <w:rFonts w:ascii="Montserrat;sans-serif" w:hAnsi="Montserrat;sans-serif"/>
                <w:color w:val="000000"/>
                <w:sz w:val="18"/>
              </w:rPr>
              <w:t>Maintain a 100% independent Compensation Committee</w:t>
            </w:r>
          </w:p>
        </w:tc>
        <w:tc>
          <w:tcPr>
            <w:tcW w:w="146" w:type="dxa"/>
            <w:tcBorders>
              <w:bottom w:val="single" w:sz="4" w:space="0" w:color="000000"/>
            </w:tcBorders>
            <w:tcMar>
              <w:top w:w="0" w:type="dxa"/>
              <w:left w:w="0" w:type="dxa"/>
              <w:right w:w="0" w:type="dxa"/>
            </w:tcMar>
            <w:vAlign w:val="center"/>
          </w:tcPr>
          <w:p>
            <w:pPr>
              <w:pStyle w:val="TableContents"/>
              <w:bidi w:val="0"/>
              <w:spacing w:before="20" w:after="20"/>
              <w:jc w:val="left"/>
              <w:rPr/>
            </w:pPr>
            <w:r>
              <w:rPr/>
              <w:t> </w:t>
            </w:r>
          </w:p>
        </w:tc>
        <w:tc>
          <w:tcPr>
            <w:tcW w:w="341" w:type="dxa"/>
            <w:tcBorders>
              <w:bottom w:val="single" w:sz="4" w:space="0" w:color="000000"/>
            </w:tcBorders>
            <w:tcMar>
              <w:top w:w="0" w:type="dxa"/>
              <w:left w:w="0" w:type="dxa"/>
              <w:right w:w="0" w:type="dxa"/>
            </w:tcMar>
            <w:vAlign w:val="center"/>
          </w:tcPr>
          <w:p>
            <w:pPr>
              <w:pStyle w:val="TableContents"/>
              <w:bidi w:val="0"/>
              <w:spacing w:before="20" w:after="20"/>
              <w:jc w:val="center"/>
              <w:rPr/>
            </w:pPr>
            <w:r>
              <w:rPr/>
              <w:drawing>
                <wp:inline distT="0" distB="0" distL="0" distR="0">
                  <wp:extent cx="161925" cy="161925"/>
                  <wp:effectExtent l="0" t="0" r="0" b="0"/>
                  <wp:docPr id="160"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49" descr=""/>
                          <pic:cNvPicPr>
                            <a:picLocks noChangeAspect="1" noChangeArrowheads="1"/>
                          </pic:cNvPicPr>
                        </pic:nvPicPr>
                        <pic:blipFill>
                          <a:blip r:embed="rId153"/>
                          <a:stretch>
                            <a:fillRect/>
                          </a:stretch>
                        </pic:blipFill>
                        <pic:spPr bwMode="auto">
                          <a:xfrm>
                            <a:off x="0" y="0"/>
                            <a:ext cx="161925" cy="161925"/>
                          </a:xfrm>
                          <a:prstGeom prst="rect">
                            <a:avLst/>
                          </a:prstGeom>
                        </pic:spPr>
                      </pic:pic>
                    </a:graphicData>
                  </a:graphic>
                </wp:inline>
              </w:drawing>
            </w:r>
          </w:p>
        </w:tc>
        <w:tc>
          <w:tcPr>
            <w:tcW w:w="4326" w:type="dxa"/>
            <w:tcBorders>
              <w:bottom w:val="single" w:sz="4" w:space="0" w:color="000000"/>
            </w:tcBorders>
            <w:tcMar>
              <w:top w:w="0" w:type="dxa"/>
              <w:left w:w="0" w:type="dxa"/>
              <w:right w:w="0" w:type="dxa"/>
            </w:tcMar>
            <w:vAlign w:val="center"/>
          </w:tcPr>
          <w:p>
            <w:pPr>
              <w:pStyle w:val="TableContents"/>
              <w:bidi w:val="0"/>
              <w:spacing w:before="40" w:after="40"/>
              <w:jc w:val="left"/>
              <w:rPr>
                <w:rFonts w:ascii="Montserrat;sans-serif" w:hAnsi="Montserrat;sans-serif"/>
                <w:color w:val="000000"/>
                <w:sz w:val="18"/>
              </w:rPr>
            </w:pPr>
            <w:r>
              <w:rPr>
                <w:rFonts w:ascii="Montserrat;sans-serif" w:hAnsi="Montserrat;sans-serif"/>
                <w:color w:val="000000"/>
                <w:sz w:val="18"/>
              </w:rPr>
              <w:t>Provide perquisites or benefits other than the standard benefits received by employees</w:t>
            </w:r>
          </w:p>
        </w:tc>
      </w:tr>
      <w:tr>
        <w:trPr/>
        <w:tc>
          <w:tcPr>
            <w:tcW w:w="356" w:type="dxa"/>
            <w:tcBorders>
              <w:bottom w:val="single" w:sz="4" w:space="0" w:color="000000"/>
            </w:tcBorders>
            <w:tcMar>
              <w:top w:w="0" w:type="dxa"/>
              <w:left w:w="0" w:type="dxa"/>
              <w:right w:w="0" w:type="dxa"/>
            </w:tcMar>
            <w:vAlign w:val="center"/>
          </w:tcPr>
          <w:p>
            <w:pPr>
              <w:pStyle w:val="TableContents"/>
              <w:bidi w:val="0"/>
              <w:spacing w:before="20" w:after="20"/>
              <w:jc w:val="center"/>
              <w:rPr/>
            </w:pPr>
            <w:r>
              <w:rPr/>
              <w:drawing>
                <wp:inline distT="0" distB="0" distL="0" distR="0">
                  <wp:extent cx="161925" cy="161925"/>
                  <wp:effectExtent l="0" t="0" r="0" b="0"/>
                  <wp:docPr id="161"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50" descr=""/>
                          <pic:cNvPicPr>
                            <a:picLocks noChangeAspect="1" noChangeArrowheads="1"/>
                          </pic:cNvPicPr>
                        </pic:nvPicPr>
                        <pic:blipFill>
                          <a:blip r:embed="rId154"/>
                          <a:stretch>
                            <a:fillRect/>
                          </a:stretch>
                        </pic:blipFill>
                        <pic:spPr bwMode="auto">
                          <a:xfrm>
                            <a:off x="0" y="0"/>
                            <a:ext cx="161925" cy="161925"/>
                          </a:xfrm>
                          <a:prstGeom prst="rect">
                            <a:avLst/>
                          </a:prstGeom>
                        </pic:spPr>
                      </pic:pic>
                    </a:graphicData>
                  </a:graphic>
                </wp:inline>
              </w:drawing>
            </w:r>
          </w:p>
        </w:tc>
        <w:tc>
          <w:tcPr>
            <w:tcW w:w="5036" w:type="dxa"/>
            <w:tcBorders>
              <w:bottom w:val="single" w:sz="4" w:space="0" w:color="000000"/>
            </w:tcBorders>
            <w:tcMar>
              <w:top w:w="0" w:type="dxa"/>
              <w:left w:w="0" w:type="dxa"/>
              <w:right w:w="0" w:type="dxa"/>
            </w:tcMar>
            <w:vAlign w:val="center"/>
          </w:tcPr>
          <w:p>
            <w:pPr>
              <w:pStyle w:val="TableContents"/>
              <w:bidi w:val="0"/>
              <w:spacing w:before="40" w:after="40"/>
              <w:jc w:val="left"/>
              <w:rPr>
                <w:rFonts w:ascii="Montserrat;sans-serif" w:hAnsi="Montserrat;sans-serif"/>
                <w:color w:val="000000"/>
                <w:sz w:val="18"/>
              </w:rPr>
            </w:pPr>
            <w:r>
              <w:rPr>
                <w:rFonts w:ascii="Montserrat;sans-serif" w:hAnsi="Montserrat;sans-serif"/>
                <w:color w:val="000000"/>
                <w:sz w:val="18"/>
              </w:rPr>
              <w:t>Engage an independent compensation consultant to advise the Compensation Committee</w:t>
            </w:r>
          </w:p>
        </w:tc>
        <w:tc>
          <w:tcPr>
            <w:tcW w:w="146" w:type="dxa"/>
            <w:tcBorders>
              <w:bottom w:val="single" w:sz="4" w:space="0" w:color="000000"/>
            </w:tcBorders>
            <w:tcMar>
              <w:top w:w="0" w:type="dxa"/>
              <w:left w:w="0" w:type="dxa"/>
              <w:right w:w="0" w:type="dxa"/>
            </w:tcMar>
            <w:vAlign w:val="center"/>
          </w:tcPr>
          <w:p>
            <w:pPr>
              <w:pStyle w:val="TableContents"/>
              <w:bidi w:val="0"/>
              <w:spacing w:before="20" w:after="20"/>
              <w:jc w:val="left"/>
              <w:rPr/>
            </w:pPr>
            <w:r>
              <w:rPr/>
              <w:t> </w:t>
            </w:r>
          </w:p>
        </w:tc>
        <w:tc>
          <w:tcPr>
            <w:tcW w:w="341" w:type="dxa"/>
            <w:tcBorders>
              <w:bottom w:val="single" w:sz="4" w:space="0" w:color="000000"/>
            </w:tcBorders>
            <w:tcMar>
              <w:top w:w="0" w:type="dxa"/>
              <w:left w:w="0" w:type="dxa"/>
              <w:right w:w="0" w:type="dxa"/>
            </w:tcMar>
            <w:vAlign w:val="center"/>
          </w:tcPr>
          <w:p>
            <w:pPr>
              <w:pStyle w:val="TableContents"/>
              <w:bidi w:val="0"/>
              <w:spacing w:before="20" w:after="20"/>
              <w:jc w:val="center"/>
              <w:rPr/>
            </w:pPr>
            <w:r>
              <w:rPr/>
              <w:drawing>
                <wp:inline distT="0" distB="0" distL="0" distR="0">
                  <wp:extent cx="161925" cy="161925"/>
                  <wp:effectExtent l="0" t="0" r="0" b="0"/>
                  <wp:docPr id="162"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51" descr=""/>
                          <pic:cNvPicPr>
                            <a:picLocks noChangeAspect="1" noChangeArrowheads="1"/>
                          </pic:cNvPicPr>
                        </pic:nvPicPr>
                        <pic:blipFill>
                          <a:blip r:embed="rId155"/>
                          <a:stretch>
                            <a:fillRect/>
                          </a:stretch>
                        </pic:blipFill>
                        <pic:spPr bwMode="auto">
                          <a:xfrm>
                            <a:off x="0" y="0"/>
                            <a:ext cx="161925" cy="161925"/>
                          </a:xfrm>
                          <a:prstGeom prst="rect">
                            <a:avLst/>
                          </a:prstGeom>
                        </pic:spPr>
                      </pic:pic>
                    </a:graphicData>
                  </a:graphic>
                </wp:inline>
              </w:drawing>
            </w:r>
          </w:p>
        </w:tc>
        <w:tc>
          <w:tcPr>
            <w:tcW w:w="4326" w:type="dxa"/>
            <w:tcBorders>
              <w:bottom w:val="single" w:sz="4" w:space="0" w:color="000000"/>
            </w:tcBorders>
            <w:tcMar>
              <w:top w:w="0" w:type="dxa"/>
              <w:left w:w="0" w:type="dxa"/>
              <w:right w:w="0" w:type="dxa"/>
            </w:tcMar>
            <w:vAlign w:val="center"/>
          </w:tcPr>
          <w:p>
            <w:pPr>
              <w:pStyle w:val="TableContents"/>
              <w:bidi w:val="0"/>
              <w:spacing w:before="40" w:after="40"/>
              <w:jc w:val="left"/>
              <w:rPr>
                <w:rFonts w:ascii="Montserrat;sans-serif" w:hAnsi="Montserrat;sans-serif"/>
                <w:color w:val="000000"/>
                <w:sz w:val="18"/>
              </w:rPr>
            </w:pPr>
            <w:r>
              <w:rPr>
                <w:rFonts w:ascii="Montserrat;sans-serif" w:hAnsi="Montserrat;sans-serif"/>
                <w:color w:val="000000"/>
                <w:sz w:val="18"/>
              </w:rPr>
              <w:t>Allow tax gross-ups for change of control payments and benefits</w:t>
            </w:r>
          </w:p>
        </w:tc>
      </w:tr>
      <w:tr>
        <w:trPr/>
        <w:tc>
          <w:tcPr>
            <w:tcW w:w="356" w:type="dxa"/>
            <w:tcBorders>
              <w:bottom w:val="single" w:sz="4" w:space="0" w:color="000000"/>
            </w:tcBorders>
            <w:tcMar>
              <w:top w:w="0" w:type="dxa"/>
              <w:left w:w="0" w:type="dxa"/>
              <w:right w:w="0" w:type="dxa"/>
            </w:tcMar>
            <w:vAlign w:val="center"/>
          </w:tcPr>
          <w:p>
            <w:pPr>
              <w:pStyle w:val="TableContents"/>
              <w:bidi w:val="0"/>
              <w:spacing w:before="20" w:after="20"/>
              <w:jc w:val="center"/>
              <w:rPr/>
            </w:pPr>
            <w:r>
              <w:rPr/>
              <w:drawing>
                <wp:inline distT="0" distB="0" distL="0" distR="0">
                  <wp:extent cx="161925" cy="161925"/>
                  <wp:effectExtent l="0" t="0" r="0" b="0"/>
                  <wp:docPr id="163"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52" descr=""/>
                          <pic:cNvPicPr>
                            <a:picLocks noChangeAspect="1" noChangeArrowheads="1"/>
                          </pic:cNvPicPr>
                        </pic:nvPicPr>
                        <pic:blipFill>
                          <a:blip r:embed="rId156"/>
                          <a:stretch>
                            <a:fillRect/>
                          </a:stretch>
                        </pic:blipFill>
                        <pic:spPr bwMode="auto">
                          <a:xfrm>
                            <a:off x="0" y="0"/>
                            <a:ext cx="161925" cy="161925"/>
                          </a:xfrm>
                          <a:prstGeom prst="rect">
                            <a:avLst/>
                          </a:prstGeom>
                        </pic:spPr>
                      </pic:pic>
                    </a:graphicData>
                  </a:graphic>
                </wp:inline>
              </w:drawing>
            </w:r>
          </w:p>
        </w:tc>
        <w:tc>
          <w:tcPr>
            <w:tcW w:w="5036" w:type="dxa"/>
            <w:tcBorders>
              <w:bottom w:val="single" w:sz="4" w:space="0" w:color="000000"/>
            </w:tcBorders>
            <w:tcMar>
              <w:top w:w="0" w:type="dxa"/>
              <w:left w:w="0" w:type="dxa"/>
              <w:right w:w="0" w:type="dxa"/>
            </w:tcMar>
            <w:vAlign w:val="center"/>
          </w:tcPr>
          <w:p>
            <w:pPr>
              <w:pStyle w:val="TableContents"/>
              <w:bidi w:val="0"/>
              <w:spacing w:before="40" w:after="40"/>
              <w:jc w:val="left"/>
              <w:rPr>
                <w:rFonts w:ascii="Montserrat;sans-serif" w:hAnsi="Montserrat;sans-serif"/>
                <w:color w:val="000000"/>
                <w:sz w:val="18"/>
              </w:rPr>
            </w:pPr>
            <w:r>
              <w:rPr>
                <w:rFonts w:ascii="Montserrat;sans-serif" w:hAnsi="Montserrat;sans-serif"/>
                <w:color w:val="000000"/>
                <w:sz w:val="18"/>
              </w:rPr>
              <w:t>Review (at least annually) executive compensation strategy and compensation practices/levels of our compensation peer companies</w:t>
            </w:r>
          </w:p>
        </w:tc>
        <w:tc>
          <w:tcPr>
            <w:tcW w:w="146" w:type="dxa"/>
            <w:tcBorders>
              <w:bottom w:val="single" w:sz="4" w:space="0" w:color="000000"/>
            </w:tcBorders>
            <w:tcMar>
              <w:top w:w="0" w:type="dxa"/>
              <w:left w:w="0" w:type="dxa"/>
              <w:right w:w="0" w:type="dxa"/>
            </w:tcMar>
            <w:vAlign w:val="center"/>
          </w:tcPr>
          <w:p>
            <w:pPr>
              <w:pStyle w:val="TableContents"/>
              <w:bidi w:val="0"/>
              <w:spacing w:before="20" w:after="20"/>
              <w:jc w:val="left"/>
              <w:rPr/>
            </w:pPr>
            <w:r>
              <w:rPr/>
              <w:t> </w:t>
            </w:r>
          </w:p>
        </w:tc>
        <w:tc>
          <w:tcPr>
            <w:tcW w:w="341" w:type="dxa"/>
            <w:tcBorders>
              <w:bottom w:val="single" w:sz="4" w:space="0" w:color="000000"/>
            </w:tcBorders>
            <w:tcMar>
              <w:top w:w="0" w:type="dxa"/>
              <w:left w:w="0" w:type="dxa"/>
              <w:right w:w="0" w:type="dxa"/>
            </w:tcMar>
            <w:vAlign w:val="center"/>
          </w:tcPr>
          <w:p>
            <w:pPr>
              <w:pStyle w:val="TableContents"/>
              <w:bidi w:val="0"/>
              <w:spacing w:before="20" w:after="20"/>
              <w:jc w:val="center"/>
              <w:rPr/>
            </w:pPr>
            <w:r>
              <w:rPr/>
              <w:drawing>
                <wp:inline distT="0" distB="0" distL="0" distR="0">
                  <wp:extent cx="161925" cy="161925"/>
                  <wp:effectExtent l="0" t="0" r="0" b="0"/>
                  <wp:docPr id="164"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53" descr=""/>
                          <pic:cNvPicPr>
                            <a:picLocks noChangeAspect="1" noChangeArrowheads="1"/>
                          </pic:cNvPicPr>
                        </pic:nvPicPr>
                        <pic:blipFill>
                          <a:blip r:embed="rId157"/>
                          <a:stretch>
                            <a:fillRect/>
                          </a:stretch>
                        </pic:blipFill>
                        <pic:spPr bwMode="auto">
                          <a:xfrm>
                            <a:off x="0" y="0"/>
                            <a:ext cx="161925" cy="161925"/>
                          </a:xfrm>
                          <a:prstGeom prst="rect">
                            <a:avLst/>
                          </a:prstGeom>
                        </pic:spPr>
                      </pic:pic>
                    </a:graphicData>
                  </a:graphic>
                </wp:inline>
              </w:drawing>
            </w:r>
          </w:p>
        </w:tc>
        <w:tc>
          <w:tcPr>
            <w:tcW w:w="4326" w:type="dxa"/>
            <w:tcBorders>
              <w:bottom w:val="single" w:sz="4" w:space="0" w:color="000000"/>
            </w:tcBorders>
            <w:tcMar>
              <w:top w:w="0" w:type="dxa"/>
              <w:left w:w="0" w:type="dxa"/>
              <w:right w:w="0" w:type="dxa"/>
            </w:tcMar>
            <w:vAlign w:val="center"/>
          </w:tcPr>
          <w:p>
            <w:pPr>
              <w:pStyle w:val="TableContents"/>
              <w:bidi w:val="0"/>
              <w:spacing w:before="40" w:after="40"/>
              <w:jc w:val="left"/>
              <w:rPr>
                <w:rFonts w:ascii="Montserrat;sans-serif" w:hAnsi="Montserrat;sans-serif"/>
                <w:color w:val="000000"/>
                <w:sz w:val="18"/>
              </w:rPr>
            </w:pPr>
            <w:r>
              <w:rPr>
                <w:rFonts w:ascii="Montserrat;sans-serif" w:hAnsi="Montserrat;sans-serif"/>
                <w:color w:val="000000"/>
                <w:sz w:val="18"/>
              </w:rPr>
              <w:t>Permit short sales, hedging, or pledging of stock ownership positions and transactions involving derivatives of our stock</w:t>
            </w:r>
          </w:p>
        </w:tc>
      </w:tr>
      <w:tr>
        <w:trPr/>
        <w:tc>
          <w:tcPr>
            <w:tcW w:w="356" w:type="dxa"/>
            <w:tcBorders>
              <w:bottom w:val="single" w:sz="4" w:space="0" w:color="000000"/>
            </w:tcBorders>
            <w:tcMar>
              <w:top w:w="0" w:type="dxa"/>
              <w:left w:w="0" w:type="dxa"/>
              <w:right w:w="0" w:type="dxa"/>
            </w:tcMar>
            <w:vAlign w:val="center"/>
          </w:tcPr>
          <w:p>
            <w:pPr>
              <w:pStyle w:val="TableContents"/>
              <w:bidi w:val="0"/>
              <w:spacing w:before="20" w:after="20"/>
              <w:jc w:val="center"/>
              <w:rPr/>
            </w:pPr>
            <w:r>
              <w:rPr/>
              <w:drawing>
                <wp:inline distT="0" distB="0" distL="0" distR="0">
                  <wp:extent cx="161925" cy="161925"/>
                  <wp:effectExtent l="0" t="0" r="0" b="0"/>
                  <wp:docPr id="165"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54" descr=""/>
                          <pic:cNvPicPr>
                            <a:picLocks noChangeAspect="1" noChangeArrowheads="1"/>
                          </pic:cNvPicPr>
                        </pic:nvPicPr>
                        <pic:blipFill>
                          <a:blip r:embed="rId158"/>
                          <a:stretch>
                            <a:fillRect/>
                          </a:stretch>
                        </pic:blipFill>
                        <pic:spPr bwMode="auto">
                          <a:xfrm>
                            <a:off x="0" y="0"/>
                            <a:ext cx="161925" cy="161925"/>
                          </a:xfrm>
                          <a:prstGeom prst="rect">
                            <a:avLst/>
                          </a:prstGeom>
                        </pic:spPr>
                      </pic:pic>
                    </a:graphicData>
                  </a:graphic>
                </wp:inline>
              </w:drawing>
            </w:r>
          </w:p>
        </w:tc>
        <w:tc>
          <w:tcPr>
            <w:tcW w:w="5036" w:type="dxa"/>
            <w:tcBorders>
              <w:bottom w:val="single" w:sz="4" w:space="0" w:color="000000"/>
            </w:tcBorders>
            <w:tcMar>
              <w:top w:w="0" w:type="dxa"/>
              <w:left w:w="0" w:type="dxa"/>
              <w:right w:w="0" w:type="dxa"/>
            </w:tcMar>
            <w:vAlign w:val="center"/>
          </w:tcPr>
          <w:p>
            <w:pPr>
              <w:pStyle w:val="TableContents"/>
              <w:bidi w:val="0"/>
              <w:spacing w:before="40" w:after="40"/>
              <w:jc w:val="left"/>
              <w:rPr>
                <w:rFonts w:ascii="Montserrat;sans-serif" w:hAnsi="Montserrat;sans-serif"/>
                <w:color w:val="000000"/>
                <w:sz w:val="18"/>
              </w:rPr>
            </w:pPr>
            <w:r>
              <w:rPr>
                <w:rFonts w:ascii="Montserrat;sans-serif" w:hAnsi="Montserrat;sans-serif"/>
                <w:color w:val="000000"/>
                <w:sz w:val="18"/>
              </w:rPr>
              <w:t>Align our compensation program with our stockholders’ interests through a focus on equity-based awards for executives and directors</w:t>
            </w:r>
          </w:p>
        </w:tc>
        <w:tc>
          <w:tcPr>
            <w:tcW w:w="146" w:type="dxa"/>
            <w:tcBorders>
              <w:bottom w:val="single" w:sz="4" w:space="0" w:color="000000"/>
            </w:tcBorders>
            <w:tcMar>
              <w:top w:w="0" w:type="dxa"/>
              <w:left w:w="0" w:type="dxa"/>
              <w:right w:w="0" w:type="dxa"/>
            </w:tcMar>
            <w:vAlign w:val="center"/>
          </w:tcPr>
          <w:p>
            <w:pPr>
              <w:pStyle w:val="TableContents"/>
              <w:bidi w:val="0"/>
              <w:spacing w:before="20" w:after="20"/>
              <w:jc w:val="left"/>
              <w:rPr/>
            </w:pPr>
            <w:r>
              <w:rPr/>
              <w:t> </w:t>
            </w:r>
          </w:p>
        </w:tc>
        <w:tc>
          <w:tcPr>
            <w:tcW w:w="341" w:type="dxa"/>
            <w:tcBorders>
              <w:bottom w:val="single" w:sz="4" w:space="0" w:color="000000"/>
            </w:tcBorders>
            <w:tcMar>
              <w:top w:w="0" w:type="dxa"/>
              <w:left w:w="0" w:type="dxa"/>
              <w:right w:w="0" w:type="dxa"/>
            </w:tcMar>
            <w:vAlign w:val="center"/>
          </w:tcPr>
          <w:p>
            <w:pPr>
              <w:pStyle w:val="TableContents"/>
              <w:bidi w:val="0"/>
              <w:spacing w:before="20" w:after="20"/>
              <w:jc w:val="center"/>
              <w:rPr/>
            </w:pPr>
            <w:r>
              <w:rPr/>
              <w:drawing>
                <wp:inline distT="0" distB="0" distL="0" distR="0">
                  <wp:extent cx="161925" cy="161925"/>
                  <wp:effectExtent l="0" t="0" r="0" b="0"/>
                  <wp:docPr id="166"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55" descr=""/>
                          <pic:cNvPicPr>
                            <a:picLocks noChangeAspect="1" noChangeArrowheads="1"/>
                          </pic:cNvPicPr>
                        </pic:nvPicPr>
                        <pic:blipFill>
                          <a:blip r:embed="rId159"/>
                          <a:stretch>
                            <a:fillRect/>
                          </a:stretch>
                        </pic:blipFill>
                        <pic:spPr bwMode="auto">
                          <a:xfrm>
                            <a:off x="0" y="0"/>
                            <a:ext cx="161925" cy="161925"/>
                          </a:xfrm>
                          <a:prstGeom prst="rect">
                            <a:avLst/>
                          </a:prstGeom>
                        </pic:spPr>
                      </pic:pic>
                    </a:graphicData>
                  </a:graphic>
                </wp:inline>
              </w:drawing>
            </w:r>
          </w:p>
        </w:tc>
        <w:tc>
          <w:tcPr>
            <w:tcW w:w="4326" w:type="dxa"/>
            <w:tcBorders>
              <w:bottom w:val="single" w:sz="4" w:space="0" w:color="000000"/>
            </w:tcBorders>
            <w:tcMar>
              <w:top w:w="0" w:type="dxa"/>
              <w:left w:w="0" w:type="dxa"/>
              <w:right w:w="0" w:type="dxa"/>
            </w:tcMar>
            <w:vAlign w:val="center"/>
          </w:tcPr>
          <w:p>
            <w:pPr>
              <w:pStyle w:val="TableContents"/>
              <w:bidi w:val="0"/>
              <w:spacing w:before="40" w:after="40"/>
              <w:jc w:val="left"/>
              <w:rPr>
                <w:rFonts w:ascii="Montserrat;sans-serif" w:hAnsi="Montserrat;sans-serif"/>
                <w:color w:val="000000"/>
                <w:sz w:val="18"/>
              </w:rPr>
            </w:pPr>
            <w:r>
              <w:rPr>
                <w:rFonts w:ascii="Montserrat;sans-serif" w:hAnsi="Montserrat;sans-serif"/>
                <w:color w:val="000000"/>
                <w:sz w:val="18"/>
              </w:rPr>
              <w:t>Benchmark compensation to a specific percentile of our compensation peer group</w:t>
            </w:r>
          </w:p>
        </w:tc>
      </w:tr>
      <w:tr>
        <w:trPr/>
        <w:tc>
          <w:tcPr>
            <w:tcW w:w="356" w:type="dxa"/>
            <w:tcBorders>
              <w:bottom w:val="single" w:sz="4" w:space="0" w:color="000000"/>
            </w:tcBorders>
            <w:tcMar>
              <w:top w:w="0" w:type="dxa"/>
              <w:left w:w="0" w:type="dxa"/>
              <w:right w:w="0" w:type="dxa"/>
            </w:tcMar>
            <w:vAlign w:val="center"/>
          </w:tcPr>
          <w:p>
            <w:pPr>
              <w:pStyle w:val="TableContents"/>
              <w:bidi w:val="0"/>
              <w:spacing w:before="20" w:after="20"/>
              <w:jc w:val="center"/>
              <w:rPr/>
            </w:pPr>
            <w:r>
              <w:rPr/>
              <w:drawing>
                <wp:inline distT="0" distB="0" distL="0" distR="0">
                  <wp:extent cx="161925" cy="161925"/>
                  <wp:effectExtent l="0" t="0" r="0" b="0"/>
                  <wp:docPr id="167"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56" descr=""/>
                          <pic:cNvPicPr>
                            <a:picLocks noChangeAspect="1" noChangeArrowheads="1"/>
                          </pic:cNvPicPr>
                        </pic:nvPicPr>
                        <pic:blipFill>
                          <a:blip r:embed="rId160"/>
                          <a:stretch>
                            <a:fillRect/>
                          </a:stretch>
                        </pic:blipFill>
                        <pic:spPr bwMode="auto">
                          <a:xfrm>
                            <a:off x="0" y="0"/>
                            <a:ext cx="161925" cy="161925"/>
                          </a:xfrm>
                          <a:prstGeom prst="rect">
                            <a:avLst/>
                          </a:prstGeom>
                        </pic:spPr>
                      </pic:pic>
                    </a:graphicData>
                  </a:graphic>
                </wp:inline>
              </w:drawing>
            </w:r>
          </w:p>
        </w:tc>
        <w:tc>
          <w:tcPr>
            <w:tcW w:w="5036" w:type="dxa"/>
            <w:tcBorders>
              <w:bottom w:val="single" w:sz="4" w:space="0" w:color="000000"/>
            </w:tcBorders>
            <w:tcMar>
              <w:top w:w="0" w:type="dxa"/>
              <w:left w:w="0" w:type="dxa"/>
              <w:right w:w="0" w:type="dxa"/>
            </w:tcMar>
            <w:vAlign w:val="center"/>
          </w:tcPr>
          <w:p>
            <w:pPr>
              <w:pStyle w:val="TableContents"/>
              <w:bidi w:val="0"/>
              <w:spacing w:before="40" w:after="40"/>
              <w:jc w:val="left"/>
              <w:rPr>
                <w:rFonts w:ascii="Montserrat;sans-serif" w:hAnsi="Montserrat;sans-serif"/>
                <w:color w:val="000000"/>
                <w:sz w:val="18"/>
              </w:rPr>
            </w:pPr>
            <w:r>
              <w:rPr>
                <w:rFonts w:ascii="Montserrat;sans-serif" w:hAnsi="Montserrat;sans-serif"/>
                <w:color w:val="000000"/>
                <w:sz w:val="18"/>
              </w:rPr>
              <w:t>Emphasize PRSU awards over a multi-year performance period as a key component of our executive officers’ compensation</w:t>
            </w:r>
          </w:p>
        </w:tc>
        <w:tc>
          <w:tcPr>
            <w:tcW w:w="146" w:type="dxa"/>
            <w:tcBorders>
              <w:bottom w:val="single" w:sz="4" w:space="0" w:color="000000"/>
            </w:tcBorders>
            <w:tcMar>
              <w:top w:w="0" w:type="dxa"/>
              <w:left w:w="0" w:type="dxa"/>
              <w:right w:w="0" w:type="dxa"/>
            </w:tcMar>
            <w:vAlign w:val="center"/>
          </w:tcPr>
          <w:p>
            <w:pPr>
              <w:pStyle w:val="TableContents"/>
              <w:bidi w:val="0"/>
              <w:spacing w:before="20" w:after="20"/>
              <w:jc w:val="left"/>
              <w:rPr/>
            </w:pPr>
            <w:r>
              <w:rPr/>
              <w:t> </w:t>
            </w:r>
          </w:p>
        </w:tc>
        <w:tc>
          <w:tcPr>
            <w:tcW w:w="341" w:type="dxa"/>
            <w:tcBorders>
              <w:bottom w:val="single" w:sz="4" w:space="0" w:color="000000"/>
            </w:tcBorders>
            <w:tcMar>
              <w:top w:w="0" w:type="dxa"/>
              <w:left w:w="0" w:type="dxa"/>
              <w:right w:w="0" w:type="dxa"/>
            </w:tcMar>
            <w:vAlign w:val="center"/>
          </w:tcPr>
          <w:p>
            <w:pPr>
              <w:pStyle w:val="TableContents"/>
              <w:bidi w:val="0"/>
              <w:spacing w:before="20" w:after="20"/>
              <w:jc w:val="center"/>
              <w:rPr/>
            </w:pPr>
            <w:r>
              <w:rPr/>
              <w:drawing>
                <wp:inline distT="0" distB="0" distL="0" distR="0">
                  <wp:extent cx="161925" cy="161925"/>
                  <wp:effectExtent l="0" t="0" r="0" b="0"/>
                  <wp:docPr id="168"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57" descr=""/>
                          <pic:cNvPicPr>
                            <a:picLocks noChangeAspect="1" noChangeArrowheads="1"/>
                          </pic:cNvPicPr>
                        </pic:nvPicPr>
                        <pic:blipFill>
                          <a:blip r:embed="rId161"/>
                          <a:stretch>
                            <a:fillRect/>
                          </a:stretch>
                        </pic:blipFill>
                        <pic:spPr bwMode="auto">
                          <a:xfrm>
                            <a:off x="0" y="0"/>
                            <a:ext cx="161925" cy="161925"/>
                          </a:xfrm>
                          <a:prstGeom prst="rect">
                            <a:avLst/>
                          </a:prstGeom>
                        </pic:spPr>
                      </pic:pic>
                    </a:graphicData>
                  </a:graphic>
                </wp:inline>
              </w:drawing>
            </w:r>
          </w:p>
        </w:tc>
        <w:tc>
          <w:tcPr>
            <w:tcW w:w="4326" w:type="dxa"/>
            <w:tcBorders>
              <w:bottom w:val="single" w:sz="4" w:space="0" w:color="000000"/>
            </w:tcBorders>
            <w:tcMar>
              <w:top w:w="0" w:type="dxa"/>
              <w:left w:w="0" w:type="dxa"/>
              <w:right w:w="0" w:type="dxa"/>
            </w:tcMar>
            <w:vAlign w:val="center"/>
          </w:tcPr>
          <w:p>
            <w:pPr>
              <w:pStyle w:val="TableContents"/>
              <w:bidi w:val="0"/>
              <w:spacing w:before="40" w:after="40"/>
              <w:jc w:val="left"/>
              <w:rPr>
                <w:rFonts w:ascii="Montserrat;sans-serif" w:hAnsi="Montserrat;sans-serif"/>
                <w:color w:val="000000"/>
                <w:sz w:val="18"/>
              </w:rPr>
            </w:pPr>
            <w:r>
              <w:rPr>
                <w:rFonts w:ascii="Montserrat;sans-serif" w:hAnsi="Montserrat;sans-serif"/>
                <w:color w:val="000000"/>
                <w:sz w:val="18"/>
              </w:rPr>
              <w:t xml:space="preserve">Include automatic “single-trigger” payments or equity acceleration upon a change of control </w:t>
            </w:r>
          </w:p>
        </w:tc>
      </w:tr>
      <w:tr>
        <w:trPr/>
        <w:tc>
          <w:tcPr>
            <w:tcW w:w="356" w:type="dxa"/>
            <w:tcBorders>
              <w:bottom w:val="single" w:sz="4" w:space="0" w:color="000000"/>
            </w:tcBorders>
            <w:tcMar>
              <w:top w:w="0" w:type="dxa"/>
              <w:left w:w="0" w:type="dxa"/>
              <w:right w:w="0" w:type="dxa"/>
            </w:tcMar>
            <w:vAlign w:val="center"/>
          </w:tcPr>
          <w:p>
            <w:pPr>
              <w:pStyle w:val="TableContents"/>
              <w:bidi w:val="0"/>
              <w:spacing w:before="20" w:after="20"/>
              <w:jc w:val="center"/>
              <w:rPr/>
            </w:pPr>
            <w:r>
              <w:rPr/>
              <w:drawing>
                <wp:inline distT="0" distB="0" distL="0" distR="0">
                  <wp:extent cx="161925" cy="161925"/>
                  <wp:effectExtent l="0" t="0" r="0" b="0"/>
                  <wp:docPr id="169"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58" descr=""/>
                          <pic:cNvPicPr>
                            <a:picLocks noChangeAspect="1" noChangeArrowheads="1"/>
                          </pic:cNvPicPr>
                        </pic:nvPicPr>
                        <pic:blipFill>
                          <a:blip r:embed="rId162"/>
                          <a:stretch>
                            <a:fillRect/>
                          </a:stretch>
                        </pic:blipFill>
                        <pic:spPr bwMode="auto">
                          <a:xfrm>
                            <a:off x="0" y="0"/>
                            <a:ext cx="161925" cy="161925"/>
                          </a:xfrm>
                          <a:prstGeom prst="rect">
                            <a:avLst/>
                          </a:prstGeom>
                        </pic:spPr>
                      </pic:pic>
                    </a:graphicData>
                  </a:graphic>
                </wp:inline>
              </w:drawing>
            </w:r>
          </w:p>
        </w:tc>
        <w:tc>
          <w:tcPr>
            <w:tcW w:w="5036" w:type="dxa"/>
            <w:tcBorders>
              <w:bottom w:val="single" w:sz="4" w:space="0" w:color="000000"/>
            </w:tcBorders>
            <w:tcMar>
              <w:top w:w="0" w:type="dxa"/>
              <w:left w:w="0" w:type="dxa"/>
              <w:right w:w="0" w:type="dxa"/>
            </w:tcMar>
            <w:vAlign w:val="center"/>
          </w:tcPr>
          <w:p>
            <w:pPr>
              <w:pStyle w:val="TableContents"/>
              <w:bidi w:val="0"/>
              <w:spacing w:before="40" w:after="40"/>
              <w:jc w:val="left"/>
              <w:rPr>
                <w:rFonts w:ascii="Montserrat;sans-serif" w:hAnsi="Montserrat;sans-serif"/>
                <w:color w:val="000000"/>
                <w:sz w:val="18"/>
              </w:rPr>
            </w:pPr>
            <w:r>
              <w:rPr>
                <w:rFonts w:ascii="Montserrat;sans-serif" w:hAnsi="Montserrat;sans-serif"/>
                <w:color w:val="000000"/>
                <w:sz w:val="18"/>
              </w:rPr>
              <w:t>Place our executive officers in the same broad-based company health and welfare benefits programs as other full-time salaried employees</w:t>
            </w:r>
          </w:p>
        </w:tc>
        <w:tc>
          <w:tcPr>
            <w:tcW w:w="146" w:type="dxa"/>
            <w:tcBorders>
              <w:bottom w:val="single" w:sz="4" w:space="0" w:color="000000"/>
            </w:tcBorders>
            <w:tcMar>
              <w:top w:w="0" w:type="dxa"/>
              <w:left w:w="0" w:type="dxa"/>
              <w:right w:w="0" w:type="dxa"/>
            </w:tcMar>
            <w:vAlign w:val="center"/>
          </w:tcPr>
          <w:p>
            <w:pPr>
              <w:pStyle w:val="TableContents"/>
              <w:bidi w:val="0"/>
              <w:spacing w:before="20" w:after="20"/>
              <w:jc w:val="left"/>
              <w:rPr/>
            </w:pPr>
            <w:r>
              <w:rPr/>
              <w:t> </w:t>
            </w:r>
          </w:p>
        </w:tc>
        <w:tc>
          <w:tcPr>
            <w:tcW w:w="341" w:type="dxa"/>
            <w:tcBorders>
              <w:bottom w:val="single" w:sz="4" w:space="0" w:color="000000"/>
            </w:tcBorders>
            <w:tcMar>
              <w:top w:w="0" w:type="dxa"/>
              <w:left w:w="0" w:type="dxa"/>
              <w:right w:w="0" w:type="dxa"/>
            </w:tcMar>
            <w:vAlign w:val="center"/>
          </w:tcPr>
          <w:p>
            <w:pPr>
              <w:pStyle w:val="TableContents"/>
              <w:bidi w:val="0"/>
              <w:spacing w:before="20" w:after="20"/>
              <w:jc w:val="center"/>
              <w:rPr/>
            </w:pPr>
            <w:r>
              <w:rPr/>
              <w:drawing>
                <wp:inline distT="0" distB="0" distL="0" distR="0">
                  <wp:extent cx="161925" cy="161925"/>
                  <wp:effectExtent l="0" t="0" r="0" b="0"/>
                  <wp:docPr id="170"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59" descr=""/>
                          <pic:cNvPicPr>
                            <a:picLocks noChangeAspect="1" noChangeArrowheads="1"/>
                          </pic:cNvPicPr>
                        </pic:nvPicPr>
                        <pic:blipFill>
                          <a:blip r:embed="rId163"/>
                          <a:stretch>
                            <a:fillRect/>
                          </a:stretch>
                        </pic:blipFill>
                        <pic:spPr bwMode="auto">
                          <a:xfrm>
                            <a:off x="0" y="0"/>
                            <a:ext cx="161925" cy="161925"/>
                          </a:xfrm>
                          <a:prstGeom prst="rect">
                            <a:avLst/>
                          </a:prstGeom>
                        </pic:spPr>
                      </pic:pic>
                    </a:graphicData>
                  </a:graphic>
                </wp:inline>
              </w:drawing>
            </w:r>
          </w:p>
        </w:tc>
        <w:tc>
          <w:tcPr>
            <w:tcW w:w="4326" w:type="dxa"/>
            <w:tcBorders>
              <w:bottom w:val="single" w:sz="4" w:space="0" w:color="000000"/>
            </w:tcBorders>
            <w:tcMar>
              <w:top w:w="0" w:type="dxa"/>
              <w:left w:w="0" w:type="dxa"/>
              <w:right w:w="0" w:type="dxa"/>
            </w:tcMar>
            <w:vAlign w:val="center"/>
          </w:tcPr>
          <w:p>
            <w:pPr>
              <w:pStyle w:val="TableContents"/>
              <w:bidi w:val="0"/>
              <w:spacing w:before="40" w:after="40"/>
              <w:jc w:val="left"/>
              <w:rPr>
                <w:rFonts w:ascii="Montserrat;sans-serif" w:hAnsi="Montserrat;sans-serif"/>
                <w:color w:val="000000"/>
                <w:sz w:val="18"/>
              </w:rPr>
            </w:pPr>
            <w:r>
              <w:rPr>
                <w:rFonts w:ascii="Montserrat;sans-serif" w:hAnsi="Montserrat;sans-serif"/>
                <w:color w:val="000000"/>
                <w:sz w:val="18"/>
              </w:rPr>
              <w:t>Guarantee salary increases, annual incentive awards, or long-term incentive awards</w:t>
            </w:r>
          </w:p>
        </w:tc>
      </w:tr>
      <w:tr>
        <w:trPr/>
        <w:tc>
          <w:tcPr>
            <w:tcW w:w="356" w:type="dxa"/>
            <w:tcBorders>
              <w:bottom w:val="single" w:sz="4" w:space="0" w:color="000000"/>
            </w:tcBorders>
            <w:tcMar>
              <w:top w:w="0" w:type="dxa"/>
              <w:left w:w="0" w:type="dxa"/>
              <w:right w:w="0" w:type="dxa"/>
            </w:tcMar>
            <w:vAlign w:val="center"/>
          </w:tcPr>
          <w:p>
            <w:pPr>
              <w:pStyle w:val="TableContents"/>
              <w:bidi w:val="0"/>
              <w:spacing w:before="20" w:after="20"/>
              <w:jc w:val="center"/>
              <w:rPr/>
            </w:pPr>
            <w:r>
              <w:rPr/>
              <w:drawing>
                <wp:inline distT="0" distB="0" distL="0" distR="0">
                  <wp:extent cx="161925" cy="161925"/>
                  <wp:effectExtent l="0" t="0" r="0" b="0"/>
                  <wp:docPr id="171"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60" descr=""/>
                          <pic:cNvPicPr>
                            <a:picLocks noChangeAspect="1" noChangeArrowheads="1"/>
                          </pic:cNvPicPr>
                        </pic:nvPicPr>
                        <pic:blipFill>
                          <a:blip r:embed="rId164"/>
                          <a:stretch>
                            <a:fillRect/>
                          </a:stretch>
                        </pic:blipFill>
                        <pic:spPr bwMode="auto">
                          <a:xfrm>
                            <a:off x="0" y="0"/>
                            <a:ext cx="161925" cy="161925"/>
                          </a:xfrm>
                          <a:prstGeom prst="rect">
                            <a:avLst/>
                          </a:prstGeom>
                        </pic:spPr>
                      </pic:pic>
                    </a:graphicData>
                  </a:graphic>
                </wp:inline>
              </w:drawing>
            </w:r>
          </w:p>
        </w:tc>
        <w:tc>
          <w:tcPr>
            <w:tcW w:w="5036" w:type="dxa"/>
            <w:tcBorders>
              <w:bottom w:val="single" w:sz="4" w:space="0" w:color="000000"/>
            </w:tcBorders>
            <w:tcMar>
              <w:top w:w="0" w:type="dxa"/>
              <w:left w:w="0" w:type="dxa"/>
              <w:right w:w="0" w:type="dxa"/>
            </w:tcMar>
            <w:vAlign w:val="center"/>
          </w:tcPr>
          <w:p>
            <w:pPr>
              <w:pStyle w:val="TableContents"/>
              <w:bidi w:val="0"/>
              <w:spacing w:before="40" w:after="40"/>
              <w:jc w:val="left"/>
              <w:rPr>
                <w:rFonts w:ascii="Montserrat;sans-serif" w:hAnsi="Montserrat;sans-serif"/>
                <w:color w:val="000000"/>
                <w:sz w:val="18"/>
              </w:rPr>
            </w:pPr>
            <w:r>
              <w:rPr>
                <w:rFonts w:ascii="Montserrat;sans-serif" w:hAnsi="Montserrat;sans-serif"/>
                <w:color w:val="000000"/>
                <w:sz w:val="18"/>
              </w:rPr>
              <w:t>Maintain robust stock ownership guidelines for our executive officers and non-employee directors</w:t>
            </w:r>
          </w:p>
        </w:tc>
        <w:tc>
          <w:tcPr>
            <w:tcW w:w="146" w:type="dxa"/>
            <w:tcBorders>
              <w:bottom w:val="single" w:sz="4" w:space="0" w:color="000000"/>
            </w:tcBorders>
            <w:tcMar>
              <w:top w:w="0" w:type="dxa"/>
              <w:left w:w="0" w:type="dxa"/>
              <w:right w:w="0" w:type="dxa"/>
            </w:tcMar>
            <w:vAlign w:val="center"/>
          </w:tcPr>
          <w:p>
            <w:pPr>
              <w:pStyle w:val="TableContents"/>
              <w:bidi w:val="0"/>
              <w:spacing w:before="20" w:after="20"/>
              <w:jc w:val="left"/>
              <w:rPr/>
            </w:pPr>
            <w:r>
              <w:rPr/>
              <w:t> </w:t>
            </w:r>
          </w:p>
        </w:tc>
        <w:tc>
          <w:tcPr>
            <w:tcW w:w="341" w:type="dxa"/>
            <w:tcBorders>
              <w:bottom w:val="single" w:sz="4" w:space="0" w:color="000000"/>
            </w:tcBorders>
            <w:tcMar>
              <w:top w:w="0" w:type="dxa"/>
              <w:left w:w="0" w:type="dxa"/>
              <w:right w:w="0" w:type="dxa"/>
            </w:tcMar>
            <w:vAlign w:val="center"/>
          </w:tcPr>
          <w:p>
            <w:pPr>
              <w:pStyle w:val="TableContents"/>
              <w:bidi w:val="0"/>
              <w:spacing w:before="20" w:after="20"/>
              <w:jc w:val="center"/>
              <w:rPr/>
            </w:pPr>
            <w:r>
              <w:rPr/>
              <w:drawing>
                <wp:inline distT="0" distB="0" distL="0" distR="0">
                  <wp:extent cx="161925" cy="161925"/>
                  <wp:effectExtent l="0" t="0" r="0" b="0"/>
                  <wp:docPr id="172"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61" descr=""/>
                          <pic:cNvPicPr>
                            <a:picLocks noChangeAspect="1" noChangeArrowheads="1"/>
                          </pic:cNvPicPr>
                        </pic:nvPicPr>
                        <pic:blipFill>
                          <a:blip r:embed="rId165"/>
                          <a:stretch>
                            <a:fillRect/>
                          </a:stretch>
                        </pic:blipFill>
                        <pic:spPr bwMode="auto">
                          <a:xfrm>
                            <a:off x="0" y="0"/>
                            <a:ext cx="161925" cy="161925"/>
                          </a:xfrm>
                          <a:prstGeom prst="rect">
                            <a:avLst/>
                          </a:prstGeom>
                        </pic:spPr>
                      </pic:pic>
                    </a:graphicData>
                  </a:graphic>
                </wp:inline>
              </w:drawing>
            </w:r>
          </w:p>
        </w:tc>
        <w:tc>
          <w:tcPr>
            <w:tcW w:w="4326" w:type="dxa"/>
            <w:tcBorders>
              <w:bottom w:val="single" w:sz="4" w:space="0" w:color="000000"/>
            </w:tcBorders>
            <w:tcMar>
              <w:top w:w="0" w:type="dxa"/>
              <w:left w:w="0" w:type="dxa"/>
              <w:right w:w="0" w:type="dxa"/>
            </w:tcMar>
            <w:vAlign w:val="center"/>
          </w:tcPr>
          <w:p>
            <w:pPr>
              <w:pStyle w:val="TableContents"/>
              <w:bidi w:val="0"/>
              <w:spacing w:before="40" w:after="40"/>
              <w:jc w:val="left"/>
              <w:rPr>
                <w:rFonts w:ascii="Montserrat;sans-serif" w:hAnsi="Montserrat;sans-serif"/>
                <w:color w:val="000000"/>
                <w:sz w:val="18"/>
              </w:rPr>
            </w:pPr>
            <w:r>
              <w:rPr>
                <w:rFonts w:ascii="Montserrat;sans-serif" w:hAnsi="Montserrat;sans-serif"/>
                <w:color w:val="000000"/>
                <w:sz w:val="18"/>
              </w:rPr>
              <w:t>Design incentive plans that promote excessive risk taking</w:t>
            </w:r>
          </w:p>
        </w:tc>
      </w:tr>
      <w:tr>
        <w:trPr/>
        <w:tc>
          <w:tcPr>
            <w:tcW w:w="356" w:type="dxa"/>
            <w:tcBorders>
              <w:bottom w:val="single" w:sz="4" w:space="0" w:color="000000"/>
            </w:tcBorders>
            <w:tcMar>
              <w:top w:w="0" w:type="dxa"/>
              <w:left w:w="0" w:type="dxa"/>
              <w:right w:w="0" w:type="dxa"/>
            </w:tcMar>
            <w:vAlign w:val="center"/>
          </w:tcPr>
          <w:p>
            <w:pPr>
              <w:pStyle w:val="TableContents"/>
              <w:bidi w:val="0"/>
              <w:spacing w:before="20" w:after="20"/>
              <w:jc w:val="center"/>
              <w:rPr/>
            </w:pPr>
            <w:r>
              <w:rPr/>
              <w:drawing>
                <wp:inline distT="0" distB="0" distL="0" distR="0">
                  <wp:extent cx="161925" cy="161925"/>
                  <wp:effectExtent l="0" t="0" r="0" b="0"/>
                  <wp:docPr id="173"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62" descr=""/>
                          <pic:cNvPicPr>
                            <a:picLocks noChangeAspect="1" noChangeArrowheads="1"/>
                          </pic:cNvPicPr>
                        </pic:nvPicPr>
                        <pic:blipFill>
                          <a:blip r:embed="rId166"/>
                          <a:stretch>
                            <a:fillRect/>
                          </a:stretch>
                        </pic:blipFill>
                        <pic:spPr bwMode="auto">
                          <a:xfrm>
                            <a:off x="0" y="0"/>
                            <a:ext cx="161925" cy="161925"/>
                          </a:xfrm>
                          <a:prstGeom prst="rect">
                            <a:avLst/>
                          </a:prstGeom>
                        </pic:spPr>
                      </pic:pic>
                    </a:graphicData>
                  </a:graphic>
                </wp:inline>
              </w:drawing>
            </w:r>
          </w:p>
        </w:tc>
        <w:tc>
          <w:tcPr>
            <w:tcW w:w="5036" w:type="dxa"/>
            <w:tcBorders>
              <w:bottom w:val="single" w:sz="4" w:space="0" w:color="000000"/>
            </w:tcBorders>
            <w:tcMar>
              <w:top w:w="0" w:type="dxa"/>
              <w:left w:w="0" w:type="dxa"/>
              <w:right w:w="0" w:type="dxa"/>
            </w:tcMar>
            <w:vAlign w:val="center"/>
          </w:tcPr>
          <w:p>
            <w:pPr>
              <w:pStyle w:val="TableContents"/>
              <w:bidi w:val="0"/>
              <w:spacing w:before="40" w:after="40"/>
              <w:jc w:val="left"/>
              <w:rPr>
                <w:rFonts w:ascii="Montserrat;sans-serif" w:hAnsi="Montserrat;sans-serif"/>
                <w:color w:val="000000"/>
                <w:sz w:val="18"/>
              </w:rPr>
            </w:pPr>
            <w:r>
              <w:rPr>
                <w:rFonts w:ascii="Montserrat;sans-serif" w:hAnsi="Montserrat;sans-serif"/>
                <w:color w:val="000000"/>
                <w:sz w:val="18"/>
              </w:rPr>
              <w:t>Annually assess the risk associated with compensation programs and practices</w:t>
            </w:r>
          </w:p>
        </w:tc>
        <w:tc>
          <w:tcPr>
            <w:tcW w:w="146" w:type="dxa"/>
            <w:tcBorders>
              <w:bottom w:val="single" w:sz="4" w:space="0" w:color="000000"/>
            </w:tcBorders>
            <w:tcMar>
              <w:top w:w="0" w:type="dxa"/>
              <w:left w:w="0" w:type="dxa"/>
              <w:right w:w="0" w:type="dxa"/>
            </w:tcMar>
            <w:vAlign w:val="center"/>
          </w:tcPr>
          <w:p>
            <w:pPr>
              <w:pStyle w:val="TableContents"/>
              <w:bidi w:val="0"/>
              <w:spacing w:before="20" w:after="20"/>
              <w:jc w:val="left"/>
              <w:rPr/>
            </w:pPr>
            <w:r>
              <w:rPr/>
              <w:t> </w:t>
            </w:r>
          </w:p>
        </w:tc>
        <w:tc>
          <w:tcPr>
            <w:tcW w:w="341" w:type="dxa"/>
            <w:tcBorders>
              <w:bottom w:val="single" w:sz="4" w:space="0" w:color="7855FA"/>
            </w:tcBorders>
            <w:tcMar>
              <w:top w:w="0" w:type="dxa"/>
              <w:left w:w="0" w:type="dxa"/>
              <w:right w:w="0" w:type="dxa"/>
            </w:tcMar>
            <w:vAlign w:val="center"/>
          </w:tcPr>
          <w:p>
            <w:pPr>
              <w:pStyle w:val="TableContents"/>
              <w:bidi w:val="0"/>
              <w:spacing w:before="20" w:after="20"/>
              <w:jc w:val="center"/>
              <w:rPr/>
            </w:pPr>
            <w:r>
              <w:rPr/>
              <w:drawing>
                <wp:inline distT="0" distB="0" distL="0" distR="0">
                  <wp:extent cx="161925" cy="161925"/>
                  <wp:effectExtent l="0" t="0" r="0" b="0"/>
                  <wp:docPr id="174"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63" descr=""/>
                          <pic:cNvPicPr>
                            <a:picLocks noChangeAspect="1" noChangeArrowheads="1"/>
                          </pic:cNvPicPr>
                        </pic:nvPicPr>
                        <pic:blipFill>
                          <a:blip r:embed="rId167"/>
                          <a:stretch>
                            <a:fillRect/>
                          </a:stretch>
                        </pic:blipFill>
                        <pic:spPr bwMode="auto">
                          <a:xfrm>
                            <a:off x="0" y="0"/>
                            <a:ext cx="161925" cy="161925"/>
                          </a:xfrm>
                          <a:prstGeom prst="rect">
                            <a:avLst/>
                          </a:prstGeom>
                        </pic:spPr>
                      </pic:pic>
                    </a:graphicData>
                  </a:graphic>
                </wp:inline>
              </w:drawing>
            </w:r>
          </w:p>
        </w:tc>
        <w:tc>
          <w:tcPr>
            <w:tcW w:w="4326" w:type="dxa"/>
            <w:tcBorders>
              <w:bottom w:val="single" w:sz="4" w:space="0" w:color="7855FA"/>
            </w:tcBorders>
            <w:tcMar>
              <w:top w:w="0" w:type="dxa"/>
              <w:left w:w="0" w:type="dxa"/>
              <w:right w:w="0" w:type="dxa"/>
            </w:tcMar>
            <w:vAlign w:val="center"/>
          </w:tcPr>
          <w:p>
            <w:pPr>
              <w:pStyle w:val="TableContents"/>
              <w:bidi w:val="0"/>
              <w:spacing w:before="40" w:after="40"/>
              <w:jc w:val="left"/>
              <w:rPr>
                <w:rFonts w:ascii="Montserrat;sans-serif" w:hAnsi="Montserrat;sans-serif"/>
                <w:color w:val="000000"/>
                <w:sz w:val="18"/>
              </w:rPr>
            </w:pPr>
            <w:r>
              <w:rPr>
                <w:rFonts w:ascii="Montserrat;sans-serif" w:hAnsi="Montserrat;sans-serif"/>
                <w:color w:val="000000"/>
                <w:sz w:val="18"/>
              </w:rPr>
              <w:t>Permit repricing of stock options without stockholder approval</w:t>
            </w:r>
          </w:p>
        </w:tc>
      </w:tr>
      <w:tr>
        <w:trPr/>
        <w:tc>
          <w:tcPr>
            <w:tcW w:w="356" w:type="dxa"/>
            <w:tcBorders>
              <w:bottom w:val="single" w:sz="4" w:space="0" w:color="000000"/>
            </w:tcBorders>
            <w:tcMar>
              <w:top w:w="0" w:type="dxa"/>
              <w:left w:w="0" w:type="dxa"/>
              <w:right w:w="0" w:type="dxa"/>
            </w:tcMar>
            <w:vAlign w:val="center"/>
          </w:tcPr>
          <w:p>
            <w:pPr>
              <w:pStyle w:val="TableContents"/>
              <w:bidi w:val="0"/>
              <w:spacing w:before="20" w:after="20"/>
              <w:jc w:val="center"/>
              <w:rPr/>
            </w:pPr>
            <w:r>
              <w:rPr/>
              <w:drawing>
                <wp:inline distT="0" distB="0" distL="0" distR="0">
                  <wp:extent cx="161925" cy="161925"/>
                  <wp:effectExtent l="0" t="0" r="0" b="0"/>
                  <wp:docPr id="175"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64" descr=""/>
                          <pic:cNvPicPr>
                            <a:picLocks noChangeAspect="1" noChangeArrowheads="1"/>
                          </pic:cNvPicPr>
                        </pic:nvPicPr>
                        <pic:blipFill>
                          <a:blip r:embed="rId168"/>
                          <a:stretch>
                            <a:fillRect/>
                          </a:stretch>
                        </pic:blipFill>
                        <pic:spPr bwMode="auto">
                          <a:xfrm>
                            <a:off x="0" y="0"/>
                            <a:ext cx="161925" cy="161925"/>
                          </a:xfrm>
                          <a:prstGeom prst="rect">
                            <a:avLst/>
                          </a:prstGeom>
                        </pic:spPr>
                      </pic:pic>
                    </a:graphicData>
                  </a:graphic>
                </wp:inline>
              </w:drawing>
            </w:r>
          </w:p>
        </w:tc>
        <w:tc>
          <w:tcPr>
            <w:tcW w:w="5036" w:type="dxa"/>
            <w:tcBorders>
              <w:bottom w:val="single" w:sz="4" w:space="0" w:color="000000"/>
            </w:tcBorders>
            <w:tcMar>
              <w:top w:w="0" w:type="dxa"/>
              <w:left w:w="0" w:type="dxa"/>
              <w:right w:w="0" w:type="dxa"/>
            </w:tcMar>
            <w:vAlign w:val="center"/>
          </w:tcPr>
          <w:p>
            <w:pPr>
              <w:pStyle w:val="TableContents"/>
              <w:bidi w:val="0"/>
              <w:spacing w:before="40" w:after="40"/>
              <w:jc w:val="left"/>
              <w:rPr>
                <w:rFonts w:ascii="Montserrat;sans-serif" w:hAnsi="Montserrat;sans-serif"/>
                <w:color w:val="000000"/>
                <w:sz w:val="18"/>
              </w:rPr>
            </w:pPr>
            <w:r>
              <w:rPr>
                <w:rFonts w:ascii="Montserrat;sans-serif" w:hAnsi="Montserrat;sans-serif"/>
                <w:color w:val="000000"/>
                <w:sz w:val="18"/>
              </w:rPr>
              <w:t>Maintain a compensation recovery policy that complies with SEC rules and Nasdaq listing requirements</w:t>
            </w:r>
          </w:p>
        </w:tc>
        <w:tc>
          <w:tcPr>
            <w:tcW w:w="146" w:type="dxa"/>
            <w:tcBorders>
              <w:bottom w:val="single" w:sz="4" w:space="0" w:color="000000"/>
            </w:tcBorders>
            <w:tcMar>
              <w:top w:w="0" w:type="dxa"/>
              <w:left w:w="0" w:type="dxa"/>
              <w:right w:w="0" w:type="dxa"/>
            </w:tcMar>
            <w:vAlign w:val="center"/>
          </w:tcPr>
          <w:p>
            <w:pPr>
              <w:pStyle w:val="TableContents"/>
              <w:bidi w:val="0"/>
              <w:spacing w:before="20" w:after="20"/>
              <w:jc w:val="left"/>
              <w:rPr/>
            </w:pPr>
            <w:r>
              <w:rPr/>
              <w:t> </w:t>
            </w:r>
          </w:p>
        </w:tc>
        <w:tc>
          <w:tcPr>
            <w:tcW w:w="341" w:type="dxa"/>
            <w:tcBorders/>
            <w:tcMar>
              <w:top w:w="0" w:type="dxa"/>
              <w:left w:w="0" w:type="dxa"/>
              <w:bottom w:w="0" w:type="dxa"/>
              <w:right w:w="0" w:type="dxa"/>
            </w:tcMar>
            <w:vAlign w:val="center"/>
          </w:tcPr>
          <w:p>
            <w:pPr>
              <w:pStyle w:val="TableContents"/>
              <w:bidi w:val="0"/>
              <w:spacing w:before="20" w:after="20"/>
              <w:jc w:val="center"/>
              <w:rPr/>
            </w:pPr>
            <w:r>
              <w:rPr/>
              <w:t> </w:t>
            </w:r>
          </w:p>
        </w:tc>
        <w:tc>
          <w:tcPr>
            <w:tcW w:w="4326" w:type="dxa"/>
            <w:tcBorders/>
            <w:tcMar>
              <w:top w:w="0" w:type="dxa"/>
              <w:left w:w="0" w:type="dxa"/>
              <w:bottom w:w="0" w:type="dxa"/>
              <w:right w:w="0" w:type="dxa"/>
            </w:tcMar>
            <w:vAlign w:val="center"/>
          </w:tcPr>
          <w:p>
            <w:pPr>
              <w:pStyle w:val="TableContents"/>
              <w:bidi w:val="0"/>
              <w:spacing w:before="20" w:after="20"/>
              <w:jc w:val="left"/>
              <w:rPr/>
            </w:pPr>
            <w:r>
              <w:rPr/>
              <w:t> </w:t>
            </w:r>
          </w:p>
        </w:tc>
      </w:tr>
      <w:tr>
        <w:trPr/>
        <w:tc>
          <w:tcPr>
            <w:tcW w:w="356" w:type="dxa"/>
            <w:tcBorders>
              <w:bottom w:val="single" w:sz="4" w:space="0" w:color="000000"/>
            </w:tcBorders>
            <w:tcMar>
              <w:top w:w="0" w:type="dxa"/>
              <w:left w:w="0" w:type="dxa"/>
              <w:right w:w="0" w:type="dxa"/>
            </w:tcMar>
            <w:vAlign w:val="center"/>
          </w:tcPr>
          <w:p>
            <w:pPr>
              <w:pStyle w:val="TableContents"/>
              <w:bidi w:val="0"/>
              <w:spacing w:before="20" w:after="20"/>
              <w:jc w:val="center"/>
              <w:rPr/>
            </w:pPr>
            <w:r>
              <w:rPr/>
              <w:drawing>
                <wp:inline distT="0" distB="0" distL="0" distR="0">
                  <wp:extent cx="161925" cy="161925"/>
                  <wp:effectExtent l="0" t="0" r="0" b="0"/>
                  <wp:docPr id="176"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65" descr=""/>
                          <pic:cNvPicPr>
                            <a:picLocks noChangeAspect="1" noChangeArrowheads="1"/>
                          </pic:cNvPicPr>
                        </pic:nvPicPr>
                        <pic:blipFill>
                          <a:blip r:embed="rId169"/>
                          <a:stretch>
                            <a:fillRect/>
                          </a:stretch>
                        </pic:blipFill>
                        <pic:spPr bwMode="auto">
                          <a:xfrm>
                            <a:off x="0" y="0"/>
                            <a:ext cx="161925" cy="161925"/>
                          </a:xfrm>
                          <a:prstGeom prst="rect">
                            <a:avLst/>
                          </a:prstGeom>
                        </pic:spPr>
                      </pic:pic>
                    </a:graphicData>
                  </a:graphic>
                </wp:inline>
              </w:drawing>
            </w:r>
          </w:p>
        </w:tc>
        <w:tc>
          <w:tcPr>
            <w:tcW w:w="5036" w:type="dxa"/>
            <w:tcBorders>
              <w:bottom w:val="single" w:sz="4" w:space="0" w:color="000000"/>
            </w:tcBorders>
            <w:tcMar>
              <w:top w:w="0" w:type="dxa"/>
              <w:left w:w="0" w:type="dxa"/>
              <w:right w:w="0" w:type="dxa"/>
            </w:tcMar>
            <w:vAlign w:val="center"/>
          </w:tcPr>
          <w:p>
            <w:pPr>
              <w:pStyle w:val="TableContents"/>
              <w:bidi w:val="0"/>
              <w:spacing w:before="40" w:after="40"/>
              <w:jc w:val="left"/>
              <w:rPr>
                <w:rFonts w:ascii="Montserrat;sans-serif" w:hAnsi="Montserrat;sans-serif"/>
                <w:color w:val="000000"/>
                <w:sz w:val="18"/>
              </w:rPr>
            </w:pPr>
            <w:r>
              <w:rPr>
                <w:rFonts w:ascii="Montserrat;sans-serif" w:hAnsi="Montserrat;sans-serif"/>
                <w:color w:val="000000"/>
                <w:sz w:val="18"/>
              </w:rPr>
              <w:t>Include caps on performance-based annual incentive and long-term equity incentive payouts</w:t>
            </w:r>
          </w:p>
        </w:tc>
        <w:tc>
          <w:tcPr>
            <w:tcW w:w="146" w:type="dxa"/>
            <w:tcBorders>
              <w:bottom w:val="single" w:sz="4" w:space="0" w:color="000000"/>
            </w:tcBorders>
            <w:tcMar>
              <w:top w:w="0" w:type="dxa"/>
              <w:left w:w="0" w:type="dxa"/>
              <w:right w:w="0" w:type="dxa"/>
            </w:tcMar>
            <w:vAlign w:val="center"/>
          </w:tcPr>
          <w:p>
            <w:pPr>
              <w:pStyle w:val="TableContents"/>
              <w:bidi w:val="0"/>
              <w:spacing w:before="20" w:after="20"/>
              <w:jc w:val="left"/>
              <w:rPr/>
            </w:pPr>
            <w:r>
              <w:rPr/>
              <w:t> </w:t>
            </w:r>
          </w:p>
        </w:tc>
        <w:tc>
          <w:tcPr>
            <w:tcW w:w="341" w:type="dxa"/>
            <w:tcBorders/>
            <w:tcMar>
              <w:top w:w="0" w:type="dxa"/>
              <w:left w:w="0" w:type="dxa"/>
              <w:bottom w:w="0" w:type="dxa"/>
              <w:right w:w="0" w:type="dxa"/>
            </w:tcMar>
            <w:vAlign w:val="center"/>
          </w:tcPr>
          <w:p>
            <w:pPr>
              <w:pStyle w:val="TableContents"/>
              <w:bidi w:val="0"/>
              <w:spacing w:before="20" w:after="20"/>
              <w:jc w:val="center"/>
              <w:rPr/>
            </w:pPr>
            <w:r>
              <w:rPr/>
              <w:t> </w:t>
            </w:r>
          </w:p>
        </w:tc>
        <w:tc>
          <w:tcPr>
            <w:tcW w:w="4326" w:type="dxa"/>
            <w:tcBorders/>
            <w:tcMar>
              <w:top w:w="0" w:type="dxa"/>
              <w:left w:w="0" w:type="dxa"/>
              <w:bottom w:w="0" w:type="dxa"/>
              <w:right w:w="0" w:type="dxa"/>
            </w:tcMar>
            <w:vAlign w:val="center"/>
          </w:tcPr>
          <w:p>
            <w:pPr>
              <w:pStyle w:val="TableContents"/>
              <w:bidi w:val="0"/>
              <w:spacing w:before="20" w:after="20"/>
              <w:jc w:val="left"/>
              <w:rPr/>
            </w:pPr>
            <w:r>
              <w:rPr/>
              <w:t> </w:t>
            </w:r>
          </w:p>
        </w:tc>
      </w:tr>
      <w:tr>
        <w:trPr/>
        <w:tc>
          <w:tcPr>
            <w:tcW w:w="356" w:type="dxa"/>
            <w:tcBorders>
              <w:bottom w:val="single" w:sz="4" w:space="0" w:color="000000"/>
            </w:tcBorders>
            <w:tcMar>
              <w:top w:w="0" w:type="dxa"/>
              <w:left w:w="0" w:type="dxa"/>
              <w:right w:w="0" w:type="dxa"/>
            </w:tcMar>
            <w:vAlign w:val="center"/>
          </w:tcPr>
          <w:p>
            <w:pPr>
              <w:pStyle w:val="TableContents"/>
              <w:bidi w:val="0"/>
              <w:spacing w:before="20" w:after="20"/>
              <w:jc w:val="center"/>
              <w:rPr/>
            </w:pPr>
            <w:r>
              <w:rPr/>
              <w:drawing>
                <wp:inline distT="0" distB="0" distL="0" distR="0">
                  <wp:extent cx="161925" cy="161925"/>
                  <wp:effectExtent l="0" t="0" r="0" b="0"/>
                  <wp:docPr id="177"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66" descr=""/>
                          <pic:cNvPicPr>
                            <a:picLocks noChangeAspect="1" noChangeArrowheads="1"/>
                          </pic:cNvPicPr>
                        </pic:nvPicPr>
                        <pic:blipFill>
                          <a:blip r:embed="rId170"/>
                          <a:stretch>
                            <a:fillRect/>
                          </a:stretch>
                        </pic:blipFill>
                        <pic:spPr bwMode="auto">
                          <a:xfrm>
                            <a:off x="0" y="0"/>
                            <a:ext cx="161925" cy="161925"/>
                          </a:xfrm>
                          <a:prstGeom prst="rect">
                            <a:avLst/>
                          </a:prstGeom>
                        </pic:spPr>
                      </pic:pic>
                    </a:graphicData>
                  </a:graphic>
                </wp:inline>
              </w:drawing>
            </w:r>
          </w:p>
        </w:tc>
        <w:tc>
          <w:tcPr>
            <w:tcW w:w="5036" w:type="dxa"/>
            <w:tcBorders>
              <w:bottom w:val="single" w:sz="4" w:space="0" w:color="000000"/>
            </w:tcBorders>
            <w:tcMar>
              <w:top w:w="0" w:type="dxa"/>
              <w:left w:w="0" w:type="dxa"/>
              <w:right w:w="0" w:type="dxa"/>
            </w:tcMar>
            <w:vAlign w:val="center"/>
          </w:tcPr>
          <w:p>
            <w:pPr>
              <w:pStyle w:val="TableContents"/>
              <w:bidi w:val="0"/>
              <w:spacing w:before="40" w:after="40"/>
              <w:jc w:val="left"/>
              <w:rPr>
                <w:rFonts w:ascii="Montserrat;sans-serif" w:hAnsi="Montserrat;sans-serif"/>
                <w:color w:val="000000"/>
                <w:sz w:val="18"/>
              </w:rPr>
            </w:pPr>
            <w:r>
              <w:rPr>
                <w:rFonts w:ascii="Montserrat;sans-serif" w:hAnsi="Montserrat;sans-serif"/>
                <w:color w:val="000000"/>
                <w:sz w:val="18"/>
              </w:rPr>
              <w:t>Hold an annual advisory say-on-pay vote on NEO compensation</w:t>
            </w:r>
          </w:p>
        </w:tc>
        <w:tc>
          <w:tcPr>
            <w:tcW w:w="146" w:type="dxa"/>
            <w:tcBorders>
              <w:bottom w:val="single" w:sz="4" w:space="0" w:color="000000"/>
            </w:tcBorders>
            <w:tcMar>
              <w:top w:w="0" w:type="dxa"/>
              <w:left w:w="0" w:type="dxa"/>
              <w:right w:w="0" w:type="dxa"/>
            </w:tcMar>
            <w:vAlign w:val="center"/>
          </w:tcPr>
          <w:p>
            <w:pPr>
              <w:pStyle w:val="TableContents"/>
              <w:bidi w:val="0"/>
              <w:spacing w:before="20" w:after="20"/>
              <w:jc w:val="left"/>
              <w:rPr/>
            </w:pPr>
            <w:r>
              <w:rPr/>
              <w:t> </w:t>
            </w:r>
          </w:p>
        </w:tc>
        <w:tc>
          <w:tcPr>
            <w:tcW w:w="341" w:type="dxa"/>
            <w:tcBorders/>
            <w:tcMar>
              <w:top w:w="0" w:type="dxa"/>
              <w:left w:w="0" w:type="dxa"/>
              <w:bottom w:w="0" w:type="dxa"/>
              <w:right w:w="0" w:type="dxa"/>
            </w:tcMar>
            <w:vAlign w:val="center"/>
          </w:tcPr>
          <w:p>
            <w:pPr>
              <w:pStyle w:val="TableContents"/>
              <w:bidi w:val="0"/>
              <w:spacing w:before="20" w:after="20"/>
              <w:jc w:val="left"/>
              <w:rPr/>
            </w:pPr>
            <w:r>
              <w:rPr/>
              <w:t> </w:t>
            </w:r>
          </w:p>
        </w:tc>
        <w:tc>
          <w:tcPr>
            <w:tcW w:w="4326" w:type="dxa"/>
            <w:tcBorders/>
            <w:tcMar>
              <w:top w:w="0" w:type="dxa"/>
              <w:left w:w="0" w:type="dxa"/>
              <w:bottom w:w="0" w:type="dxa"/>
              <w:right w:w="0" w:type="dxa"/>
            </w:tcMar>
            <w:vAlign w:val="center"/>
          </w:tcPr>
          <w:p>
            <w:pPr>
              <w:pStyle w:val="TableContents"/>
              <w:bidi w:val="0"/>
              <w:spacing w:before="20" w:after="20"/>
              <w:jc w:val="left"/>
              <w:rPr/>
            </w:pPr>
            <w:r>
              <w:rPr/>
              <w:t> </w:t>
            </w:r>
          </w:p>
        </w:tc>
      </w:tr>
      <w:tr>
        <w:trPr/>
        <w:tc>
          <w:tcPr>
            <w:tcW w:w="356" w:type="dxa"/>
            <w:tcBorders>
              <w:bottom w:val="single" w:sz="4" w:space="0" w:color="7855FA"/>
            </w:tcBorders>
            <w:tcMar>
              <w:top w:w="0" w:type="dxa"/>
              <w:left w:w="0" w:type="dxa"/>
              <w:right w:w="0" w:type="dxa"/>
            </w:tcMar>
            <w:vAlign w:val="center"/>
          </w:tcPr>
          <w:p>
            <w:pPr>
              <w:pStyle w:val="TableContents"/>
              <w:bidi w:val="0"/>
              <w:spacing w:before="20" w:after="20"/>
              <w:jc w:val="center"/>
              <w:rPr/>
            </w:pPr>
            <w:r>
              <w:rPr/>
              <w:drawing>
                <wp:inline distT="0" distB="0" distL="0" distR="0">
                  <wp:extent cx="161925" cy="161925"/>
                  <wp:effectExtent l="0" t="0" r="0" b="0"/>
                  <wp:docPr id="178"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67" descr=""/>
                          <pic:cNvPicPr>
                            <a:picLocks noChangeAspect="1" noChangeArrowheads="1"/>
                          </pic:cNvPicPr>
                        </pic:nvPicPr>
                        <pic:blipFill>
                          <a:blip r:embed="rId171"/>
                          <a:stretch>
                            <a:fillRect/>
                          </a:stretch>
                        </pic:blipFill>
                        <pic:spPr bwMode="auto">
                          <a:xfrm>
                            <a:off x="0" y="0"/>
                            <a:ext cx="161925" cy="161925"/>
                          </a:xfrm>
                          <a:prstGeom prst="rect">
                            <a:avLst/>
                          </a:prstGeom>
                        </pic:spPr>
                      </pic:pic>
                    </a:graphicData>
                  </a:graphic>
                </wp:inline>
              </w:drawing>
            </w:r>
          </w:p>
        </w:tc>
        <w:tc>
          <w:tcPr>
            <w:tcW w:w="5036" w:type="dxa"/>
            <w:tcBorders>
              <w:bottom w:val="single" w:sz="4" w:space="0" w:color="7855FA"/>
            </w:tcBorders>
            <w:tcMar>
              <w:top w:w="0" w:type="dxa"/>
              <w:left w:w="0" w:type="dxa"/>
              <w:right w:w="0" w:type="dxa"/>
            </w:tcMar>
            <w:vAlign w:val="center"/>
          </w:tcPr>
          <w:p>
            <w:pPr>
              <w:pStyle w:val="TableContents"/>
              <w:bidi w:val="0"/>
              <w:spacing w:before="40" w:after="40"/>
              <w:jc w:val="left"/>
              <w:rPr>
                <w:rFonts w:ascii="Montserrat;sans-serif" w:hAnsi="Montserrat;sans-serif"/>
                <w:color w:val="000000"/>
                <w:sz w:val="18"/>
              </w:rPr>
            </w:pPr>
            <w:r>
              <w:rPr>
                <w:rFonts w:ascii="Montserrat;sans-serif" w:hAnsi="Montserrat;sans-serif"/>
                <w:color w:val="000000"/>
                <w:sz w:val="18"/>
              </w:rPr>
              <w:t>Hold regular Compensation Committee executive sessions without management present</w:t>
            </w:r>
          </w:p>
        </w:tc>
        <w:tc>
          <w:tcPr>
            <w:tcW w:w="146" w:type="dxa"/>
            <w:tcBorders>
              <w:bottom w:val="single" w:sz="4" w:space="0" w:color="000000"/>
            </w:tcBorders>
            <w:tcMar>
              <w:top w:w="0" w:type="dxa"/>
              <w:left w:w="0" w:type="dxa"/>
              <w:right w:w="0" w:type="dxa"/>
            </w:tcMar>
            <w:vAlign w:val="center"/>
          </w:tcPr>
          <w:p>
            <w:pPr>
              <w:pStyle w:val="TableContents"/>
              <w:bidi w:val="0"/>
              <w:spacing w:before="20" w:after="20"/>
              <w:jc w:val="left"/>
              <w:rPr/>
            </w:pPr>
            <w:r>
              <w:rPr/>
              <w:t> </w:t>
            </w:r>
          </w:p>
        </w:tc>
        <w:tc>
          <w:tcPr>
            <w:tcW w:w="341" w:type="dxa"/>
            <w:tcBorders/>
            <w:tcMar>
              <w:top w:w="0" w:type="dxa"/>
              <w:left w:w="0" w:type="dxa"/>
              <w:bottom w:w="0" w:type="dxa"/>
              <w:right w:w="0" w:type="dxa"/>
            </w:tcMar>
            <w:vAlign w:val="center"/>
          </w:tcPr>
          <w:p>
            <w:pPr>
              <w:pStyle w:val="TableContents"/>
              <w:bidi w:val="0"/>
              <w:spacing w:before="20" w:after="20"/>
              <w:jc w:val="left"/>
              <w:rPr/>
            </w:pPr>
            <w:r>
              <w:rPr/>
              <w:t> </w:t>
            </w:r>
          </w:p>
        </w:tc>
        <w:tc>
          <w:tcPr>
            <w:tcW w:w="4326" w:type="dxa"/>
            <w:tcBorders/>
            <w:tcMar>
              <w:top w:w="0" w:type="dxa"/>
              <w:left w:w="0" w:type="dxa"/>
              <w:bottom w:w="0" w:type="dxa"/>
              <w:right w:w="0" w:type="dxa"/>
            </w:tcMar>
            <w:vAlign w:val="center"/>
          </w:tcPr>
          <w:p>
            <w:pPr>
              <w:pStyle w:val="TableContents"/>
              <w:bidi w:val="0"/>
              <w:spacing w:before="20" w:after="20"/>
              <w:jc w:val="left"/>
              <w:rPr/>
            </w:pPr>
            <w:r>
              <w:rPr/>
              <w:t> </w:t>
            </w:r>
          </w:p>
        </w:tc>
      </w:tr>
    </w:tbl>
    <w:p>
      <w:pPr>
        <w:pStyle w:val="TextBody"/>
        <w:bidi w:val="0"/>
        <w:jc w:val="both"/>
        <w:rPr/>
      </w:pPr>
      <w:r>
        <w:rPr/>
        <w:t> </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2641"/>
        <w:gridCol w:w="331"/>
      </w:tblGrid>
      <w:tr>
        <w:trPr/>
        <w:tc>
          <w:tcPr>
            <w:tcW w:w="26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179"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68" descr=""/>
                          <pic:cNvPicPr>
                            <a:picLocks noChangeAspect="1" noChangeArrowheads="1"/>
                          </pic:cNvPicPr>
                        </pic:nvPicPr>
                        <pic:blipFill>
                          <a:blip r:embed="rId172"/>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3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41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rFonts w:ascii="Montserrat;sans-serif" w:hAnsi="Montserrat;sans-serif"/>
          <w:color w:val="000000"/>
          <w:sz w:val="13"/>
        </w:rPr>
      </w:pPr>
      <w:r>
        <w:rPr>
          <w:rFonts w:ascii="Montserrat;sans-serif" w:hAnsi="Montserrat;sans-serif"/>
          <w:color w:val="000000"/>
          <w:sz w:val="13"/>
        </w:rPr>
        <w:t>Executive Compensation</w:t>
      </w:r>
    </w:p>
    <w:p>
      <w:pPr>
        <w:pStyle w:val="TextBody"/>
        <w:bidi w:val="0"/>
        <w:spacing w:before="60" w:after="283"/>
        <w:jc w:val="left"/>
        <w:rPr>
          <w:rFonts w:ascii="Montserrat;sans-serif" w:hAnsi="Montserrat;sans-serif"/>
          <w:color w:val="000000"/>
          <w:sz w:val="12"/>
        </w:rPr>
      </w:pPr>
      <w:r>
        <w:rPr>
          <w:rFonts w:ascii="Montserrat;sans-serif" w:hAnsi="Montserrat;sans-serif"/>
          <w:color w:val="000000"/>
          <w:sz w:val="12"/>
        </w:rPr>
        <w:t>Compensation Discussion and Analysis</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Executive Compensation Philosophy and Objectives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Our vision is to become the de facto infrastructure software platform for running applications, data, and AI anywhere, and our compensation philosophy is underpinned by four key objectives aligned with that vision.</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709"/>
        <w:gridCol w:w="348"/>
        <w:gridCol w:w="7148"/>
      </w:tblGrid>
      <w:tr>
        <w:trPr/>
        <w:tc>
          <w:tcPr>
            <w:tcW w:w="27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7148" w:type="dxa"/>
            <w:tcBorders/>
            <w:vAlign w:val="center"/>
          </w:tcPr>
          <w:p>
            <w:pPr>
              <w:pStyle w:val="TableContents"/>
              <w:bidi w:val="0"/>
              <w:spacing w:before="0" w:after="283"/>
              <w:jc w:val="left"/>
              <w:rPr>
                <w:sz w:val="4"/>
                <w:szCs w:val="4"/>
              </w:rPr>
            </w:pPr>
            <w:r>
              <w:rPr>
                <w:sz w:val="4"/>
                <w:szCs w:val="4"/>
              </w:rPr>
            </w:r>
          </w:p>
        </w:tc>
      </w:tr>
      <w:tr>
        <w:trPr/>
        <w:tc>
          <w:tcPr>
            <w:tcW w:w="2709" w:type="dxa"/>
            <w:tcBorders>
              <w:bottom w:val="single" w:sz="4" w:space="0" w:color="7855FA"/>
            </w:tcBorders>
            <w:tcMar>
              <w:top w:w="0" w:type="dxa"/>
              <w:left w:w="0" w:type="dxa"/>
              <w:right w:w="0" w:type="dxa"/>
            </w:tcMar>
            <w:vAlign w:val="center"/>
          </w:tcPr>
          <w:p>
            <w:pPr>
              <w:pStyle w:val="TableContents"/>
              <w:bidi w:val="0"/>
              <w:spacing w:before="120" w:after="283"/>
              <w:jc w:val="left"/>
              <w:rPr>
                <w:rFonts w:ascii="Montserrat;sans-serif" w:hAnsi="Montserrat;sans-serif"/>
                <w:b/>
                <w:color w:val="7855FA"/>
                <w:sz w:val="18"/>
              </w:rPr>
            </w:pPr>
            <w:r>
              <w:rPr>
                <w:rFonts w:ascii="Montserrat;sans-serif" w:hAnsi="Montserrat;sans-serif"/>
                <w:b/>
                <w:color w:val="7855FA"/>
                <w:sz w:val="18"/>
              </w:rPr>
              <w:t>Objective</w:t>
            </w:r>
          </w:p>
        </w:tc>
        <w:tc>
          <w:tcPr>
            <w:tcW w:w="348" w:type="dxa"/>
            <w:tcBorders>
              <w:bottom w:val="single" w:sz="4" w:space="0" w:color="7855FA"/>
            </w:tcBorders>
            <w:tcMar>
              <w:top w:w="0" w:type="dxa"/>
              <w:left w:w="0" w:type="dxa"/>
              <w:right w:w="0" w:type="dxa"/>
            </w:tcMar>
            <w:vAlign w:val="center"/>
          </w:tcPr>
          <w:p>
            <w:pPr>
              <w:pStyle w:val="TableContents"/>
              <w:bidi w:val="0"/>
              <w:spacing w:before="120" w:after="283"/>
              <w:jc w:val="left"/>
              <w:rPr/>
            </w:pPr>
            <w:r>
              <w:rPr/>
              <w:t> </w:t>
            </w:r>
          </w:p>
        </w:tc>
        <w:tc>
          <w:tcPr>
            <w:tcW w:w="7148" w:type="dxa"/>
            <w:tcBorders>
              <w:bottom w:val="single" w:sz="4" w:space="0" w:color="7855FA"/>
            </w:tcBorders>
            <w:tcMar>
              <w:top w:w="0" w:type="dxa"/>
              <w:left w:w="0" w:type="dxa"/>
              <w:right w:w="0" w:type="dxa"/>
            </w:tcMar>
            <w:vAlign w:val="center"/>
          </w:tcPr>
          <w:p>
            <w:pPr>
              <w:pStyle w:val="TableContents"/>
              <w:bidi w:val="0"/>
              <w:spacing w:before="120" w:after="283"/>
              <w:jc w:val="both"/>
              <w:rPr>
                <w:rFonts w:ascii="Montserrat;sans-serif" w:hAnsi="Montserrat;sans-serif"/>
                <w:b/>
                <w:color w:val="7855FA"/>
                <w:sz w:val="18"/>
              </w:rPr>
            </w:pPr>
            <w:r>
              <w:rPr>
                <w:rFonts w:ascii="Montserrat;sans-serif" w:hAnsi="Montserrat;sans-serif"/>
                <w:b/>
                <w:color w:val="7855FA"/>
                <w:sz w:val="18"/>
              </w:rPr>
              <w:t>Influence on Compensation Programs</w:t>
            </w:r>
          </w:p>
        </w:tc>
      </w:tr>
      <w:tr>
        <w:trPr/>
        <w:tc>
          <w:tcPr>
            <w:tcW w:w="2709" w:type="dxa"/>
            <w:tcBorders>
              <w:bottom w:val="single" w:sz="4" w:space="0" w:color="000000"/>
            </w:tcBorders>
            <w:tcMar>
              <w:top w:w="0" w:type="dxa"/>
              <w:left w:w="0" w:type="dxa"/>
              <w:right w:w="0" w:type="dxa"/>
            </w:tcMar>
            <w:vAlign w:val="center"/>
          </w:tcPr>
          <w:p>
            <w:pPr>
              <w:pStyle w:val="TableContents"/>
              <w:bidi w:val="0"/>
              <w:spacing w:before="60" w:after="283"/>
              <w:jc w:val="left"/>
              <w:rPr>
                <w:rFonts w:ascii="Montserrat;Montserrat Medium;sans-serif" w:hAnsi="Montserrat;Montserrat Medium;sans-serif"/>
                <w:b/>
                <w:color w:val="7855FA"/>
                <w:sz w:val="18"/>
              </w:rPr>
            </w:pPr>
            <w:r>
              <w:rPr>
                <w:rFonts w:ascii="Montserrat;Montserrat Medium;sans-serif" w:hAnsi="Montserrat;Montserrat Medium;sans-serif"/>
                <w:b/>
                <w:color w:val="7855FA"/>
                <w:sz w:val="18"/>
              </w:rPr>
              <w:t>Attracting and Retaining Talent in a Highly Competitive Industry</w:t>
            </w:r>
          </w:p>
        </w:tc>
        <w:tc>
          <w:tcPr>
            <w:tcW w:w="348" w:type="dxa"/>
            <w:tcBorders>
              <w:bottom w:val="single" w:sz="4" w:space="0" w:color="000000"/>
            </w:tcBorders>
            <w:tcMar>
              <w:top w:w="0" w:type="dxa"/>
              <w:left w:w="0" w:type="dxa"/>
              <w:right w:w="0" w:type="dxa"/>
            </w:tcMar>
            <w:vAlign w:val="center"/>
          </w:tcPr>
          <w:p>
            <w:pPr>
              <w:pStyle w:val="TableContents"/>
              <w:bidi w:val="0"/>
              <w:spacing w:before="120" w:after="283"/>
              <w:ind w:left="0" w:right="0" w:firstLine="202"/>
              <w:jc w:val="left"/>
              <w:rPr/>
            </w:pPr>
            <w:r>
              <w:rPr/>
              <w:t> </w:t>
            </w:r>
          </w:p>
        </w:tc>
        <w:tc>
          <w:tcPr>
            <w:tcW w:w="7148" w:type="dxa"/>
            <w:tcBorders>
              <w:bottom w:val="single" w:sz="4" w:space="0" w:color="000000"/>
            </w:tcBorders>
            <w:tcMar>
              <w:top w:w="0" w:type="dxa"/>
              <w:left w:w="0" w:type="dxa"/>
              <w:right w:w="0" w:type="dxa"/>
            </w:tcMar>
            <w:vAlign w:val="center"/>
          </w:tcPr>
          <w:p>
            <w:pPr>
              <w:pStyle w:val="TableContents"/>
              <w:bidi w:val="0"/>
              <w:spacing w:before="60" w:after="283"/>
              <w:jc w:val="both"/>
              <w:rPr>
                <w:color w:val="7855FA"/>
              </w:rPr>
            </w:pPr>
            <w:r>
              <w:rPr>
                <w:color w:val="7855FA"/>
              </w:rPr>
              <w:t>•</w:t>
            </w:r>
          </w:p>
          <w:p>
            <w:pPr>
              <w:pStyle w:val="TableContents"/>
              <w:bidi w:val="0"/>
              <w:spacing w:before="60" w:after="283"/>
              <w:jc w:val="both"/>
              <w:rPr>
                <w:rFonts w:ascii="Montserrat;sans-serif" w:hAnsi="Montserrat;sans-serif"/>
                <w:color w:val="000000"/>
                <w:sz w:val="18"/>
              </w:rPr>
            </w:pPr>
            <w:r>
              <w:rPr>
                <w:rFonts w:ascii="Montserrat;sans-serif" w:hAnsi="Montserrat;sans-serif"/>
                <w:color w:val="000000"/>
                <w:sz w:val="18"/>
              </w:rPr>
              <w:t>The software industry is a highly competitive business environment characterized by a rapidly changing market and frequent technological advances, and we expect competition among companies in our market to continue to increase.</w:t>
            </w:r>
          </w:p>
          <w:p>
            <w:pPr>
              <w:pStyle w:val="TableContents"/>
              <w:bidi w:val="0"/>
              <w:spacing w:before="60" w:after="283"/>
              <w:jc w:val="both"/>
              <w:rPr>
                <w:color w:val="7855FA"/>
              </w:rPr>
            </w:pPr>
            <w:r>
              <w:rPr>
                <w:color w:val="7855FA"/>
              </w:rPr>
              <w:t>•</w:t>
            </w:r>
          </w:p>
          <w:p>
            <w:pPr>
              <w:pStyle w:val="TableContents"/>
              <w:bidi w:val="0"/>
              <w:spacing w:before="60" w:after="283"/>
              <w:jc w:val="both"/>
              <w:rPr>
                <w:rFonts w:ascii="Montserrat;sans-serif" w:hAnsi="Montserrat;sans-serif"/>
                <w:color w:val="000000"/>
                <w:sz w:val="18"/>
              </w:rPr>
            </w:pPr>
            <w:r>
              <w:rPr>
                <w:rFonts w:ascii="Montserrat;sans-serif" w:hAnsi="Montserrat;sans-serif"/>
                <w:color w:val="000000"/>
                <w:sz w:val="18"/>
              </w:rPr>
              <w:t>We actively compete with many other companies in seeking to attract and retain skilled executive leaders who have successfully and rapidly scaled and managed multi-billion-dollar software businesses.</w:t>
            </w:r>
          </w:p>
          <w:p>
            <w:pPr>
              <w:pStyle w:val="TableContents"/>
              <w:bidi w:val="0"/>
              <w:spacing w:before="60" w:after="60"/>
              <w:jc w:val="both"/>
              <w:rPr>
                <w:color w:val="7855FA"/>
              </w:rPr>
            </w:pPr>
            <w:r>
              <w:rPr>
                <w:color w:val="7855FA"/>
              </w:rPr>
              <w:t>•</w:t>
            </w:r>
          </w:p>
          <w:p>
            <w:pPr>
              <w:pStyle w:val="TableContents"/>
              <w:bidi w:val="0"/>
              <w:spacing w:before="60" w:after="60"/>
              <w:jc w:val="both"/>
              <w:rPr>
                <w:rFonts w:ascii="Montserrat;sans-serif" w:hAnsi="Montserrat;sans-serif"/>
                <w:color w:val="000000"/>
                <w:sz w:val="18"/>
              </w:rPr>
            </w:pPr>
            <w:r>
              <w:rPr>
                <w:rFonts w:ascii="Montserrat;sans-serif" w:hAnsi="Montserrat;sans-serif"/>
                <w:color w:val="000000"/>
                <w:sz w:val="18"/>
              </w:rPr>
              <w:t>We have responded to intense competition for talent in our industry by implementing competitive compensation policies and practices designed to attract and motivate our executive officers to pursue our corporate objectives while also promoting their retention and incentivizing them to drive long-term stockholder value.</w:t>
            </w:r>
          </w:p>
        </w:tc>
      </w:tr>
      <w:tr>
        <w:trPr/>
        <w:tc>
          <w:tcPr>
            <w:tcW w:w="2709" w:type="dxa"/>
            <w:tcBorders>
              <w:bottom w:val="single" w:sz="4" w:space="0" w:color="000000"/>
            </w:tcBorders>
            <w:tcMar>
              <w:top w:w="0" w:type="dxa"/>
              <w:left w:w="0" w:type="dxa"/>
              <w:right w:w="0" w:type="dxa"/>
            </w:tcMar>
            <w:vAlign w:val="center"/>
          </w:tcPr>
          <w:p>
            <w:pPr>
              <w:pStyle w:val="TableContents"/>
              <w:bidi w:val="0"/>
              <w:spacing w:before="60" w:after="60"/>
              <w:jc w:val="left"/>
              <w:rPr>
                <w:rFonts w:ascii="Montserrat;Montserrat Medium;sans-serif" w:hAnsi="Montserrat;Montserrat Medium;sans-serif"/>
                <w:b/>
                <w:color w:val="7855FA"/>
                <w:sz w:val="18"/>
              </w:rPr>
            </w:pPr>
            <w:r>
              <w:rPr>
                <w:rFonts w:ascii="Montserrat;Montserrat Medium;sans-serif" w:hAnsi="Montserrat;Montserrat Medium;sans-serif"/>
                <w:b/>
                <w:color w:val="7855FA"/>
                <w:sz w:val="18"/>
              </w:rPr>
              <w:t>Incentivizing Growth Against Strategic Objectives and Expanding Market Share</w:t>
            </w:r>
          </w:p>
        </w:tc>
        <w:tc>
          <w:tcPr>
            <w:tcW w:w="348" w:type="dxa"/>
            <w:tcBorders>
              <w:bottom w:val="single" w:sz="4" w:space="0" w:color="000000"/>
            </w:tcBorders>
            <w:tcMar>
              <w:top w:w="0" w:type="dxa"/>
              <w:left w:w="0" w:type="dxa"/>
              <w:right w:w="0" w:type="dxa"/>
            </w:tcMar>
            <w:vAlign w:val="center"/>
          </w:tcPr>
          <w:p>
            <w:pPr>
              <w:pStyle w:val="TableContents"/>
              <w:bidi w:val="0"/>
              <w:spacing w:before="120" w:after="283"/>
              <w:ind w:left="0" w:right="0" w:firstLine="202"/>
              <w:jc w:val="left"/>
              <w:rPr/>
            </w:pPr>
            <w:r>
              <w:rPr/>
              <w:t> </w:t>
            </w:r>
          </w:p>
        </w:tc>
        <w:tc>
          <w:tcPr>
            <w:tcW w:w="7148" w:type="dxa"/>
            <w:tcBorders>
              <w:bottom w:val="single" w:sz="4" w:space="0" w:color="000000"/>
            </w:tcBorders>
            <w:tcMar>
              <w:top w:w="0" w:type="dxa"/>
              <w:left w:w="0" w:type="dxa"/>
              <w:right w:w="0" w:type="dxa"/>
            </w:tcMar>
            <w:vAlign w:val="center"/>
          </w:tcPr>
          <w:p>
            <w:pPr>
              <w:pStyle w:val="TableContents"/>
              <w:bidi w:val="0"/>
              <w:spacing w:before="60" w:after="283"/>
              <w:jc w:val="both"/>
              <w:rPr>
                <w:color w:val="7855FA"/>
              </w:rPr>
            </w:pPr>
            <w:r>
              <w:rPr>
                <w:color w:val="7855FA"/>
              </w:rPr>
              <w:t>•</w:t>
            </w:r>
          </w:p>
          <w:p>
            <w:pPr>
              <w:pStyle w:val="TableContents"/>
              <w:bidi w:val="0"/>
              <w:spacing w:before="60" w:after="283"/>
              <w:jc w:val="both"/>
              <w:rPr>
                <w:rFonts w:ascii="Montserrat;sans-serif" w:hAnsi="Montserrat;sans-serif"/>
                <w:color w:val="000000"/>
                <w:sz w:val="18"/>
              </w:rPr>
            </w:pPr>
            <w:r>
              <w:rPr>
                <w:rFonts w:ascii="Montserrat;sans-serif" w:hAnsi="Montserrat;sans-serif"/>
                <w:color w:val="000000"/>
                <w:sz w:val="18"/>
              </w:rPr>
              <w:t>We have structured our executive compensation program to align with our strategy by adopting a mix of short-term cash and long-term equity incentives, which we believe will motivate our executives to execute against our short-term and long-term business goals.</w:t>
            </w:r>
          </w:p>
        </w:tc>
      </w:tr>
      <w:tr>
        <w:trPr/>
        <w:tc>
          <w:tcPr>
            <w:tcW w:w="2709" w:type="dxa"/>
            <w:tcBorders>
              <w:bottom w:val="single" w:sz="4" w:space="0" w:color="000000"/>
            </w:tcBorders>
            <w:tcMar>
              <w:top w:w="0" w:type="dxa"/>
              <w:left w:w="0" w:type="dxa"/>
              <w:right w:w="0" w:type="dxa"/>
            </w:tcMar>
            <w:vAlign w:val="center"/>
          </w:tcPr>
          <w:p>
            <w:pPr>
              <w:pStyle w:val="TableContents"/>
              <w:bidi w:val="0"/>
              <w:spacing w:before="60" w:after="283"/>
              <w:jc w:val="left"/>
              <w:rPr>
                <w:rFonts w:ascii="Montserrat;Montserrat Medium;sans-serif" w:hAnsi="Montserrat;Montserrat Medium;sans-serif"/>
                <w:b/>
                <w:color w:val="7855FA"/>
                <w:sz w:val="18"/>
              </w:rPr>
            </w:pPr>
            <w:r>
              <w:rPr>
                <w:rFonts w:ascii="Montserrat;Montserrat Medium;sans-serif" w:hAnsi="Montserrat;Montserrat Medium;sans-serif"/>
                <w:b/>
                <w:color w:val="7855FA"/>
                <w:sz w:val="18"/>
              </w:rPr>
              <w:t>Alignment of Compensation with Stockholder Value</w:t>
            </w:r>
          </w:p>
        </w:tc>
        <w:tc>
          <w:tcPr>
            <w:tcW w:w="348" w:type="dxa"/>
            <w:tcBorders>
              <w:bottom w:val="single" w:sz="4" w:space="0" w:color="000000"/>
            </w:tcBorders>
            <w:tcMar>
              <w:top w:w="0" w:type="dxa"/>
              <w:left w:w="0" w:type="dxa"/>
              <w:right w:w="0" w:type="dxa"/>
            </w:tcMar>
            <w:vAlign w:val="center"/>
          </w:tcPr>
          <w:p>
            <w:pPr>
              <w:pStyle w:val="TableContents"/>
              <w:bidi w:val="0"/>
              <w:spacing w:before="120" w:after="283"/>
              <w:ind w:left="0" w:right="0" w:firstLine="202"/>
              <w:jc w:val="left"/>
              <w:rPr/>
            </w:pPr>
            <w:r>
              <w:rPr/>
              <w:t> </w:t>
            </w:r>
          </w:p>
        </w:tc>
        <w:tc>
          <w:tcPr>
            <w:tcW w:w="7148" w:type="dxa"/>
            <w:tcBorders>
              <w:bottom w:val="single" w:sz="4" w:space="0" w:color="000000"/>
            </w:tcBorders>
            <w:tcMar>
              <w:top w:w="0" w:type="dxa"/>
              <w:left w:w="0" w:type="dxa"/>
              <w:right w:w="0" w:type="dxa"/>
            </w:tcMar>
            <w:vAlign w:val="center"/>
          </w:tcPr>
          <w:p>
            <w:pPr>
              <w:pStyle w:val="TableContents"/>
              <w:bidi w:val="0"/>
              <w:spacing w:before="60" w:after="283"/>
              <w:jc w:val="both"/>
              <w:rPr>
                <w:color w:val="7855FA"/>
              </w:rPr>
            </w:pPr>
            <w:r>
              <w:rPr>
                <w:color w:val="7855FA"/>
              </w:rPr>
              <w:t>•</w:t>
            </w:r>
          </w:p>
          <w:p>
            <w:pPr>
              <w:pStyle w:val="TableContents"/>
              <w:bidi w:val="0"/>
              <w:spacing w:before="60" w:after="283"/>
              <w:jc w:val="both"/>
              <w:rPr>
                <w:rFonts w:ascii="Montserrat;sans-serif" w:hAnsi="Montserrat;sans-serif"/>
                <w:color w:val="000000"/>
                <w:sz w:val="18"/>
              </w:rPr>
            </w:pPr>
            <w:r>
              <w:rPr>
                <w:rFonts w:ascii="Montserrat;sans-serif" w:hAnsi="Montserrat;sans-serif"/>
                <w:color w:val="000000"/>
                <w:sz w:val="18"/>
              </w:rPr>
              <w:t>We firmly believe our executive officers should share in the ownership and success of our company. Therefore, equity compensation represents the substantial majority of our executive compensation packages, which we believe best aligns the interests of our executives with those of our stockholders.</w:t>
            </w:r>
          </w:p>
          <w:p>
            <w:pPr>
              <w:pStyle w:val="TableContents"/>
              <w:bidi w:val="0"/>
              <w:spacing w:before="60" w:after="60"/>
              <w:jc w:val="both"/>
              <w:rPr>
                <w:color w:val="7855FA"/>
              </w:rPr>
            </w:pPr>
            <w:r>
              <w:rPr>
                <w:color w:val="7855FA"/>
              </w:rPr>
              <w:t>•</w:t>
            </w:r>
          </w:p>
          <w:p>
            <w:pPr>
              <w:pStyle w:val="TableContents"/>
              <w:bidi w:val="0"/>
              <w:spacing w:before="60" w:after="60"/>
              <w:jc w:val="both"/>
              <w:rPr>
                <w:rFonts w:ascii="Montserrat;sans-serif" w:hAnsi="Montserrat;sans-serif"/>
                <w:color w:val="000000"/>
                <w:sz w:val="18"/>
              </w:rPr>
            </w:pPr>
            <w:r>
              <w:rPr>
                <w:rFonts w:ascii="Montserrat;sans-serif" w:hAnsi="Montserrat;sans-serif"/>
                <w:color w:val="000000"/>
                <w:sz w:val="18"/>
              </w:rPr>
              <w:t>We maintain stock ownership guidelines that apply to each of our NEOs to further align the interests of our executives with stockholders.</w:t>
            </w:r>
          </w:p>
        </w:tc>
      </w:tr>
      <w:tr>
        <w:trPr/>
        <w:tc>
          <w:tcPr>
            <w:tcW w:w="2709" w:type="dxa"/>
            <w:tcBorders>
              <w:bottom w:val="single" w:sz="4" w:space="0" w:color="7855FA"/>
            </w:tcBorders>
            <w:tcMar>
              <w:top w:w="0" w:type="dxa"/>
              <w:left w:w="0" w:type="dxa"/>
              <w:right w:w="0" w:type="dxa"/>
            </w:tcMar>
            <w:vAlign w:val="center"/>
          </w:tcPr>
          <w:p>
            <w:pPr>
              <w:pStyle w:val="TableContents"/>
              <w:bidi w:val="0"/>
              <w:spacing w:before="60" w:after="283"/>
              <w:jc w:val="left"/>
              <w:rPr>
                <w:rFonts w:ascii="Montserrat;Montserrat Medium;sans-serif" w:hAnsi="Montserrat;Montserrat Medium;sans-serif"/>
                <w:b/>
                <w:color w:val="7855FA"/>
                <w:sz w:val="18"/>
              </w:rPr>
            </w:pPr>
            <w:r>
              <w:rPr>
                <w:rFonts w:ascii="Montserrat;Montserrat Medium;sans-serif" w:hAnsi="Montserrat;Montserrat Medium;sans-serif"/>
                <w:b/>
                <w:color w:val="7855FA"/>
                <w:sz w:val="18"/>
              </w:rPr>
              <w:t>Supporting Execution in a Dynamic Market</w:t>
            </w:r>
          </w:p>
        </w:tc>
        <w:tc>
          <w:tcPr>
            <w:tcW w:w="348" w:type="dxa"/>
            <w:tcBorders>
              <w:bottom w:val="single" w:sz="4" w:space="0" w:color="7855FA"/>
            </w:tcBorders>
            <w:tcMar>
              <w:top w:w="0" w:type="dxa"/>
              <w:left w:w="0" w:type="dxa"/>
              <w:right w:w="0" w:type="dxa"/>
            </w:tcMar>
            <w:vAlign w:val="center"/>
          </w:tcPr>
          <w:p>
            <w:pPr>
              <w:pStyle w:val="TableContents"/>
              <w:bidi w:val="0"/>
              <w:spacing w:before="120" w:after="283"/>
              <w:ind w:left="0" w:right="0" w:firstLine="202"/>
              <w:jc w:val="left"/>
              <w:rPr/>
            </w:pPr>
            <w:r>
              <w:rPr/>
              <w:t> </w:t>
            </w:r>
          </w:p>
        </w:tc>
        <w:tc>
          <w:tcPr>
            <w:tcW w:w="7148" w:type="dxa"/>
            <w:tcBorders>
              <w:bottom w:val="single" w:sz="4" w:space="0" w:color="7855FA"/>
            </w:tcBorders>
            <w:tcMar>
              <w:top w:w="0" w:type="dxa"/>
              <w:left w:w="0" w:type="dxa"/>
              <w:right w:w="0" w:type="dxa"/>
            </w:tcMar>
            <w:vAlign w:val="center"/>
          </w:tcPr>
          <w:p>
            <w:pPr>
              <w:pStyle w:val="TableContents"/>
              <w:bidi w:val="0"/>
              <w:spacing w:before="60" w:after="283"/>
              <w:jc w:val="both"/>
              <w:rPr>
                <w:color w:val="7855FA"/>
              </w:rPr>
            </w:pPr>
            <w:r>
              <w:rPr>
                <w:color w:val="7855FA"/>
              </w:rPr>
              <w:t>•</w:t>
            </w:r>
          </w:p>
          <w:p>
            <w:pPr>
              <w:pStyle w:val="TableContents"/>
              <w:bidi w:val="0"/>
              <w:spacing w:before="60" w:after="283"/>
              <w:jc w:val="both"/>
              <w:rPr>
                <w:rFonts w:ascii="Montserrat;sans-serif" w:hAnsi="Montserrat;sans-serif"/>
                <w:color w:val="000000"/>
                <w:sz w:val="18"/>
              </w:rPr>
            </w:pPr>
            <w:r>
              <w:rPr>
                <w:rFonts w:ascii="Montserrat;sans-serif" w:hAnsi="Montserrat;sans-serif"/>
                <w:color w:val="000000"/>
                <w:sz w:val="18"/>
              </w:rPr>
              <w:t>Our current growth strategy includes landing new customers, expanding sales to existing customers, driving renewals and retention in existing customers, building on our hybrid multicloud vision, deepening engagement with our partners, and driving profitable growth.</w:t>
            </w:r>
          </w:p>
          <w:p>
            <w:pPr>
              <w:pStyle w:val="TableContents"/>
              <w:bidi w:val="0"/>
              <w:spacing w:before="60" w:after="283"/>
              <w:jc w:val="both"/>
              <w:rPr>
                <w:color w:val="7855FA"/>
              </w:rPr>
            </w:pPr>
            <w:r>
              <w:rPr>
                <w:color w:val="7855FA"/>
              </w:rPr>
              <w:t>•</w:t>
            </w:r>
          </w:p>
          <w:p>
            <w:pPr>
              <w:pStyle w:val="TableContents"/>
              <w:bidi w:val="0"/>
              <w:spacing w:before="60" w:after="283"/>
              <w:jc w:val="both"/>
              <w:rPr>
                <w:rFonts w:ascii="Montserrat;sans-serif" w:hAnsi="Montserrat;sans-serif"/>
                <w:color w:val="000000"/>
                <w:sz w:val="18"/>
              </w:rPr>
            </w:pPr>
            <w:r>
              <w:rPr>
                <w:rFonts w:ascii="Montserrat;sans-serif" w:hAnsi="Montserrat;sans-serif"/>
                <w:color w:val="000000"/>
                <w:sz w:val="18"/>
              </w:rPr>
              <w:t>To successfully execute on our strategy in this dynamic environment, we need to recruit, incentivize, and retain talented and seasoned leaders who can execute at the highest level and deliver stockholder value.</w:t>
            </w:r>
          </w:p>
          <w:p>
            <w:pPr>
              <w:pStyle w:val="TableContents"/>
              <w:bidi w:val="0"/>
              <w:spacing w:before="60" w:after="60"/>
              <w:jc w:val="both"/>
              <w:rPr>
                <w:color w:val="7855FA"/>
              </w:rPr>
            </w:pPr>
            <w:r>
              <w:rPr>
                <w:color w:val="7855FA"/>
              </w:rPr>
              <w:t>•</w:t>
            </w:r>
          </w:p>
          <w:p>
            <w:pPr>
              <w:pStyle w:val="TableContents"/>
              <w:bidi w:val="0"/>
              <w:spacing w:before="60" w:after="60"/>
              <w:jc w:val="both"/>
              <w:rPr>
                <w:rFonts w:ascii="Montserrat;sans-serif" w:hAnsi="Montserrat;sans-serif"/>
                <w:color w:val="000000"/>
                <w:sz w:val="18"/>
              </w:rPr>
            </w:pPr>
            <w:r>
              <w:rPr>
                <w:rFonts w:ascii="Montserrat;sans-serif" w:hAnsi="Montserrat;sans-serif"/>
                <w:color w:val="000000"/>
                <w:sz w:val="18"/>
              </w:rPr>
              <w:t>The Compensation Committee regularly reviews and adjusts our executive compensation program to align with the maturity, size, scale, growth, and aspirations of our business. Due to the dynamic nature of our industry and our business, we expect to continue to adjust our executive compensation program to respond to our needs and market conditions as they evolve.</w:t>
            </w:r>
          </w:p>
        </w:tc>
      </w:tr>
    </w:tbl>
    <w:p>
      <w:pPr>
        <w:pStyle w:val="TextBody"/>
        <w:bidi w:val="0"/>
        <w:jc w:val="left"/>
        <w:rPr/>
      </w:pPr>
      <w:r>
        <w:rPr/>
        <w:t> </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301"/>
        <w:gridCol w:w="2671"/>
      </w:tblGrid>
      <w:tr>
        <w:trPr/>
        <w:tc>
          <w:tcPr>
            <w:tcW w:w="30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42</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180"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69" descr=""/>
                          <pic:cNvPicPr>
                            <a:picLocks noChangeAspect="1" noChangeArrowheads="1"/>
                          </pic:cNvPicPr>
                        </pic:nvPicPr>
                        <pic:blipFill>
                          <a:blip r:embed="rId173"/>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rFonts w:ascii="Montserrat;sans-serif" w:hAnsi="Montserrat;sans-serif"/>
          <w:color w:val="000000"/>
          <w:sz w:val="13"/>
        </w:rPr>
      </w:pPr>
      <w:r>
        <w:rPr>
          <w:rFonts w:ascii="Montserrat;sans-serif" w:hAnsi="Montserrat;sans-serif"/>
          <w:color w:val="000000"/>
          <w:sz w:val="13"/>
        </w:rPr>
        <w:t>Executive Compensation</w:t>
      </w:r>
    </w:p>
    <w:p>
      <w:pPr>
        <w:pStyle w:val="TextBody"/>
        <w:bidi w:val="0"/>
        <w:spacing w:before="60" w:after="283"/>
        <w:jc w:val="right"/>
        <w:rPr>
          <w:rFonts w:ascii="Montserrat;sans-serif" w:hAnsi="Montserrat;sans-serif"/>
          <w:color w:val="000000"/>
          <w:sz w:val="12"/>
        </w:rPr>
      </w:pPr>
      <w:r>
        <w:rPr>
          <w:rFonts w:ascii="Montserrat;sans-serif" w:hAnsi="Montserrat;sans-serif"/>
          <w:color w:val="000000"/>
          <w:sz w:val="12"/>
        </w:rPr>
        <w:t>Compensation Discussion and Analysis</w:t>
      </w:r>
    </w:p>
    <w:p>
      <w:pPr>
        <w:pStyle w:val="TextBody"/>
        <w:bidi w:val="0"/>
        <w:jc w:val="right"/>
        <w:rPr/>
      </w:pPr>
      <w:r>
        <w:rPr/>
        <w:t> </w:t>
      </w:r>
    </w:p>
    <w:p>
      <w:pPr>
        <w:pStyle w:val="TextBody"/>
        <w:bidi w:val="0"/>
        <w:jc w:val="right"/>
        <w:rPr/>
      </w:pPr>
      <w:r>
        <w:rPr/>
        <w:t> </w:t>
      </w:r>
    </w:p>
    <w:p>
      <w:pPr>
        <w:pStyle w:val="TextBody"/>
        <w:bidi w:val="0"/>
        <w:jc w:val="left"/>
        <w:rPr>
          <w:rFonts w:ascii="Montserrat;sans-serif" w:hAnsi="Montserrat;sans-serif"/>
          <w:b/>
          <w:color w:val="000000"/>
          <w:sz w:val="22"/>
        </w:rPr>
      </w:pPr>
      <w:r>
        <w:rPr>
          <w:rFonts w:ascii="Montserrat;sans-serif" w:hAnsi="Montserrat;sans-serif"/>
          <w:b/>
          <w:color w:val="000000"/>
          <w:sz w:val="22"/>
        </w:rPr>
        <w:t>Components of our Executive Compensation Program</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Below are the primary components of our executive compensation program, how each is determined, and the reasons why each is used: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381"/>
        <w:gridCol w:w="146"/>
        <w:gridCol w:w="691"/>
        <w:gridCol w:w="146"/>
        <w:gridCol w:w="1006"/>
        <w:gridCol w:w="391"/>
        <w:gridCol w:w="2822"/>
        <w:gridCol w:w="391"/>
        <w:gridCol w:w="3231"/>
      </w:tblGrid>
      <w:tr>
        <w:trPr/>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82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231" w:type="dxa"/>
            <w:tcBorders/>
            <w:vAlign w:val="center"/>
          </w:tcPr>
          <w:p>
            <w:pPr>
              <w:pStyle w:val="TableContents"/>
              <w:bidi w:val="0"/>
              <w:spacing w:before="0" w:after="283"/>
              <w:jc w:val="left"/>
              <w:rPr>
                <w:sz w:val="4"/>
                <w:szCs w:val="4"/>
              </w:rPr>
            </w:pPr>
            <w:r>
              <w:rPr>
                <w:sz w:val="4"/>
                <w:szCs w:val="4"/>
              </w:rPr>
            </w:r>
          </w:p>
        </w:tc>
      </w:tr>
      <w:tr>
        <w:trPr/>
        <w:tc>
          <w:tcPr>
            <w:tcW w:w="1381" w:type="dxa"/>
            <w:tcBorders>
              <w:bottom w:val="single" w:sz="4" w:space="0" w:color="7855FA"/>
            </w:tcBorders>
            <w:tcMar>
              <w:top w:w="0" w:type="dxa"/>
              <w:left w:w="0" w:type="dxa"/>
              <w:right w:w="0" w:type="dxa"/>
            </w:tcMar>
            <w:vAlign w:val="center"/>
          </w:tcPr>
          <w:p>
            <w:pPr>
              <w:pStyle w:val="TableContents"/>
              <w:bidi w:val="0"/>
              <w:spacing w:before="0" w:after="40"/>
              <w:jc w:val="left"/>
              <w:rPr>
                <w:rFonts w:ascii="Montserrat;sans-serif" w:hAnsi="Montserrat;sans-serif"/>
                <w:b/>
                <w:color w:val="7855FA"/>
                <w:sz w:val="18"/>
              </w:rPr>
            </w:pPr>
            <w:r>
              <w:rPr>
                <w:rFonts w:ascii="Montserrat;sans-serif" w:hAnsi="Montserrat;sans-serif"/>
                <w:b/>
                <w:color w:val="7855FA"/>
                <w:sz w:val="18"/>
              </w:rPr>
              <w:t>Component</w:t>
            </w:r>
          </w:p>
        </w:tc>
        <w:tc>
          <w:tcPr>
            <w:tcW w:w="146" w:type="dxa"/>
            <w:tcBorders>
              <w:bottom w:val="single" w:sz="4" w:space="0" w:color="7855FA"/>
            </w:tcBorders>
            <w:tcMar>
              <w:top w:w="0" w:type="dxa"/>
              <w:left w:w="0" w:type="dxa"/>
              <w:right w:w="0" w:type="dxa"/>
            </w:tcMar>
            <w:vAlign w:val="center"/>
          </w:tcPr>
          <w:p>
            <w:pPr>
              <w:pStyle w:val="TableContents"/>
              <w:bidi w:val="0"/>
              <w:spacing w:before="0" w:after="40"/>
              <w:jc w:val="left"/>
              <w:rPr/>
            </w:pPr>
            <w:r>
              <w:rPr/>
              <w:t> </w:t>
            </w:r>
          </w:p>
        </w:tc>
        <w:tc>
          <w:tcPr>
            <w:tcW w:w="691" w:type="dxa"/>
            <w:tcBorders>
              <w:bottom w:val="single" w:sz="4" w:space="0" w:color="7855FA"/>
            </w:tcBorders>
            <w:tcMar>
              <w:top w:w="0" w:type="dxa"/>
              <w:left w:w="0" w:type="dxa"/>
              <w:right w:w="0" w:type="dxa"/>
            </w:tcMar>
            <w:vAlign w:val="center"/>
          </w:tcPr>
          <w:p>
            <w:pPr>
              <w:pStyle w:val="TableContents"/>
              <w:bidi w:val="0"/>
              <w:spacing w:before="0" w:after="40"/>
              <w:jc w:val="left"/>
              <w:rPr>
                <w:rFonts w:ascii="Montserrat;sans-serif" w:hAnsi="Montserrat;sans-serif"/>
                <w:b/>
                <w:color w:val="7855FA"/>
                <w:sz w:val="18"/>
              </w:rPr>
            </w:pPr>
            <w:r>
              <w:rPr>
                <w:rFonts w:ascii="Montserrat;sans-serif" w:hAnsi="Montserrat;sans-serif"/>
                <w:b/>
                <w:color w:val="7855FA"/>
                <w:sz w:val="18"/>
              </w:rPr>
              <w:t>Type</w:t>
            </w:r>
          </w:p>
        </w:tc>
        <w:tc>
          <w:tcPr>
            <w:tcW w:w="146" w:type="dxa"/>
            <w:tcBorders>
              <w:bottom w:val="single" w:sz="4" w:space="0" w:color="7855FA"/>
            </w:tcBorders>
            <w:tcMar>
              <w:top w:w="0" w:type="dxa"/>
              <w:left w:w="0" w:type="dxa"/>
              <w:right w:w="0" w:type="dxa"/>
            </w:tcMar>
            <w:vAlign w:val="center"/>
          </w:tcPr>
          <w:p>
            <w:pPr>
              <w:pStyle w:val="TableContents"/>
              <w:bidi w:val="0"/>
              <w:spacing w:before="0" w:after="40"/>
              <w:jc w:val="left"/>
              <w:rPr/>
            </w:pPr>
            <w:r>
              <w:rPr/>
              <w:t> </w:t>
            </w:r>
          </w:p>
        </w:tc>
        <w:tc>
          <w:tcPr>
            <w:tcW w:w="1006" w:type="dxa"/>
            <w:tcBorders>
              <w:bottom w:val="single" w:sz="4" w:space="0" w:color="7855FA"/>
            </w:tcBorders>
            <w:tcMar>
              <w:top w:w="0" w:type="dxa"/>
              <w:left w:w="0" w:type="dxa"/>
              <w:right w:w="0" w:type="dxa"/>
            </w:tcMar>
            <w:vAlign w:val="center"/>
          </w:tcPr>
          <w:p>
            <w:pPr>
              <w:pStyle w:val="TableContents"/>
              <w:bidi w:val="0"/>
              <w:spacing w:before="0" w:after="40"/>
              <w:jc w:val="left"/>
              <w:rPr>
                <w:rFonts w:ascii="Montserrat;sans-serif" w:hAnsi="Montserrat;sans-serif"/>
                <w:b/>
                <w:color w:val="7855FA"/>
                <w:sz w:val="18"/>
              </w:rPr>
            </w:pPr>
            <w:r>
              <w:rPr>
                <w:rFonts w:ascii="Montserrat;sans-serif" w:hAnsi="Montserrat;sans-serif"/>
                <w:b/>
                <w:color w:val="7855FA"/>
                <w:sz w:val="18"/>
              </w:rPr>
              <w:t>Duration</w:t>
            </w:r>
          </w:p>
        </w:tc>
        <w:tc>
          <w:tcPr>
            <w:tcW w:w="391" w:type="dxa"/>
            <w:tcBorders>
              <w:bottom w:val="single" w:sz="4" w:space="0" w:color="7855FA"/>
            </w:tcBorders>
            <w:tcMar>
              <w:top w:w="0" w:type="dxa"/>
              <w:left w:w="0" w:type="dxa"/>
              <w:right w:w="0" w:type="dxa"/>
            </w:tcMar>
            <w:vAlign w:val="center"/>
          </w:tcPr>
          <w:p>
            <w:pPr>
              <w:pStyle w:val="TableContents"/>
              <w:bidi w:val="0"/>
              <w:spacing w:before="0" w:after="40"/>
              <w:jc w:val="left"/>
              <w:rPr/>
            </w:pPr>
            <w:r>
              <w:rPr/>
              <w:t> </w:t>
            </w:r>
          </w:p>
        </w:tc>
        <w:tc>
          <w:tcPr>
            <w:tcW w:w="2822" w:type="dxa"/>
            <w:tcBorders>
              <w:bottom w:val="single" w:sz="4" w:space="0" w:color="7855FA"/>
            </w:tcBorders>
            <w:tcMar>
              <w:top w:w="0" w:type="dxa"/>
              <w:left w:w="0" w:type="dxa"/>
              <w:right w:w="0" w:type="dxa"/>
            </w:tcMar>
            <w:vAlign w:val="center"/>
          </w:tcPr>
          <w:p>
            <w:pPr>
              <w:pStyle w:val="TableContents"/>
              <w:bidi w:val="0"/>
              <w:spacing w:before="0" w:after="40"/>
              <w:jc w:val="left"/>
              <w:rPr>
                <w:rFonts w:ascii="Montserrat;sans-serif" w:hAnsi="Montserrat;sans-serif"/>
                <w:b/>
                <w:color w:val="7855FA"/>
                <w:sz w:val="18"/>
              </w:rPr>
            </w:pPr>
            <w:r>
              <w:rPr>
                <w:rFonts w:ascii="Montserrat;sans-serif" w:hAnsi="Montserrat;sans-serif"/>
                <w:b/>
                <w:color w:val="7855FA"/>
                <w:sz w:val="18"/>
              </w:rPr>
              <w:t>Factors Used to Determine</w:t>
            </w:r>
          </w:p>
        </w:tc>
        <w:tc>
          <w:tcPr>
            <w:tcW w:w="391" w:type="dxa"/>
            <w:tcBorders>
              <w:bottom w:val="single" w:sz="4" w:space="0" w:color="7855FA"/>
            </w:tcBorders>
            <w:tcMar>
              <w:top w:w="0" w:type="dxa"/>
              <w:left w:w="0" w:type="dxa"/>
              <w:right w:w="0" w:type="dxa"/>
            </w:tcMar>
            <w:vAlign w:val="center"/>
          </w:tcPr>
          <w:p>
            <w:pPr>
              <w:pStyle w:val="TableContents"/>
              <w:bidi w:val="0"/>
              <w:spacing w:before="0" w:after="40"/>
              <w:jc w:val="left"/>
              <w:rPr/>
            </w:pPr>
            <w:r>
              <w:rPr/>
              <w:t> </w:t>
            </w:r>
          </w:p>
        </w:tc>
        <w:tc>
          <w:tcPr>
            <w:tcW w:w="3231" w:type="dxa"/>
            <w:tcBorders>
              <w:bottom w:val="single" w:sz="4" w:space="0" w:color="7855FA"/>
            </w:tcBorders>
            <w:tcMar>
              <w:top w:w="0" w:type="dxa"/>
              <w:left w:w="0" w:type="dxa"/>
              <w:right w:w="0" w:type="dxa"/>
            </w:tcMar>
            <w:vAlign w:val="center"/>
          </w:tcPr>
          <w:p>
            <w:pPr>
              <w:pStyle w:val="TableContents"/>
              <w:bidi w:val="0"/>
              <w:spacing w:before="0" w:after="40"/>
              <w:jc w:val="left"/>
              <w:rPr>
                <w:rFonts w:ascii="Montserrat;sans-serif" w:hAnsi="Montserrat;sans-serif"/>
                <w:b/>
                <w:color w:val="7855FA"/>
                <w:sz w:val="18"/>
              </w:rPr>
            </w:pPr>
            <w:r>
              <w:rPr>
                <w:rFonts w:ascii="Montserrat;sans-serif" w:hAnsi="Montserrat;sans-serif"/>
                <w:b/>
                <w:color w:val="7855FA"/>
                <w:sz w:val="18"/>
              </w:rPr>
              <w:t>Rationale</w:t>
            </w:r>
          </w:p>
        </w:tc>
      </w:tr>
      <w:tr>
        <w:trPr/>
        <w:tc>
          <w:tcPr>
            <w:tcW w:w="1381" w:type="dxa"/>
            <w:tcBorders>
              <w:bottom w:val="single" w:sz="4" w:space="0" w:color="000000"/>
            </w:tcBorders>
            <w:tcMar>
              <w:top w:w="0" w:type="dxa"/>
              <w:left w:w="0" w:type="dxa"/>
              <w:right w:w="0" w:type="dxa"/>
            </w:tcMar>
            <w:vAlign w:val="center"/>
          </w:tcPr>
          <w:p>
            <w:pPr>
              <w:pStyle w:val="TableContents"/>
              <w:bidi w:val="0"/>
              <w:spacing w:before="60" w:after="60"/>
              <w:jc w:val="left"/>
              <w:rPr>
                <w:rFonts w:ascii="Montserrat;Montserrat Medium;sans-serif" w:hAnsi="Montserrat;Montserrat Medium;sans-serif"/>
                <w:b/>
                <w:color w:val="7855FA"/>
                <w:sz w:val="18"/>
              </w:rPr>
            </w:pPr>
            <w:r>
              <w:rPr>
                <w:rFonts w:ascii="Montserrat;Montserrat Medium;sans-serif" w:hAnsi="Montserrat;Montserrat Medium;sans-serif"/>
                <w:b/>
                <w:color w:val="7855FA"/>
                <w:sz w:val="18"/>
              </w:rPr>
              <w:t>Base Salary</w:t>
            </w:r>
          </w:p>
        </w:tc>
        <w:tc>
          <w:tcPr>
            <w:tcW w:w="146" w:type="dxa"/>
            <w:tcBorders>
              <w:bottom w:val="single" w:sz="4" w:space="0" w:color="000000"/>
            </w:tcBorders>
            <w:tcMar>
              <w:top w:w="0" w:type="dxa"/>
              <w:left w:w="0" w:type="dxa"/>
              <w:right w:w="0" w:type="dxa"/>
            </w:tcMar>
            <w:vAlign w:val="center"/>
          </w:tcPr>
          <w:p>
            <w:pPr>
              <w:pStyle w:val="TableContents"/>
              <w:bidi w:val="0"/>
              <w:spacing w:before="120" w:after="6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60" w:after="60"/>
              <w:jc w:val="left"/>
              <w:rPr>
                <w:rFonts w:ascii="Montserrat;sans-serif" w:hAnsi="Montserrat;sans-serif"/>
                <w:color w:val="000000"/>
                <w:sz w:val="18"/>
              </w:rPr>
            </w:pPr>
            <w:r>
              <w:rPr>
                <w:rFonts w:ascii="Montserrat;sans-serif" w:hAnsi="Montserrat;sans-serif"/>
                <w:color w:val="000000"/>
                <w:sz w:val="18"/>
              </w:rPr>
              <w:t>Cash</w:t>
            </w:r>
          </w:p>
        </w:tc>
        <w:tc>
          <w:tcPr>
            <w:tcW w:w="146" w:type="dxa"/>
            <w:tcBorders>
              <w:bottom w:val="single" w:sz="4" w:space="0" w:color="000000"/>
            </w:tcBorders>
            <w:tcMar>
              <w:top w:w="0" w:type="dxa"/>
              <w:left w:w="0" w:type="dxa"/>
              <w:right w:w="0" w:type="dxa"/>
            </w:tcMar>
            <w:vAlign w:val="center"/>
          </w:tcPr>
          <w:p>
            <w:pPr>
              <w:pStyle w:val="TableContents"/>
              <w:bidi w:val="0"/>
              <w:spacing w:before="120" w:after="6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60" w:after="60"/>
              <w:jc w:val="left"/>
              <w:rPr>
                <w:rFonts w:ascii="Montserrat;sans-serif" w:hAnsi="Montserrat;sans-serif"/>
                <w:color w:val="000000"/>
                <w:sz w:val="18"/>
              </w:rPr>
            </w:pPr>
            <w:r>
              <w:rPr>
                <w:rFonts w:ascii="Montserrat;sans-serif" w:hAnsi="Montserrat;sans-serif"/>
                <w:color w:val="000000"/>
                <w:sz w:val="18"/>
              </w:rPr>
              <w:t>Ongoing</w:t>
            </w:r>
          </w:p>
        </w:tc>
        <w:tc>
          <w:tcPr>
            <w:tcW w:w="391" w:type="dxa"/>
            <w:tcBorders>
              <w:bottom w:val="single" w:sz="4" w:space="0" w:color="000000"/>
            </w:tcBorders>
            <w:tcMar>
              <w:top w:w="0" w:type="dxa"/>
              <w:left w:w="0" w:type="dxa"/>
              <w:right w:w="0" w:type="dxa"/>
            </w:tcMar>
            <w:vAlign w:val="center"/>
          </w:tcPr>
          <w:p>
            <w:pPr>
              <w:pStyle w:val="TableContents"/>
              <w:bidi w:val="0"/>
              <w:spacing w:before="120" w:after="283"/>
              <w:ind w:left="0" w:right="0" w:firstLine="245"/>
              <w:jc w:val="left"/>
              <w:rPr/>
            </w:pPr>
            <w:r>
              <w:rPr/>
              <w:t> </w:t>
            </w:r>
          </w:p>
        </w:tc>
        <w:tc>
          <w:tcPr>
            <w:tcW w:w="2822" w:type="dxa"/>
            <w:tcBorders>
              <w:bottom w:val="single" w:sz="4" w:space="0" w:color="000000"/>
            </w:tcBorders>
            <w:tcMar>
              <w:top w:w="0" w:type="dxa"/>
              <w:left w:w="0" w:type="dxa"/>
              <w:right w:w="0" w:type="dxa"/>
            </w:tcMar>
            <w:vAlign w:val="center"/>
          </w:tcPr>
          <w:p>
            <w:pPr>
              <w:pStyle w:val="TableContents"/>
              <w:bidi w:val="0"/>
              <w:spacing w:before="60" w:after="283"/>
              <w:jc w:val="left"/>
              <w:rPr>
                <w:color w:val="7855FA"/>
              </w:rPr>
            </w:pPr>
            <w:r>
              <w:rPr>
                <w:color w:val="7855FA"/>
              </w:rPr>
              <w:t>•</w:t>
            </w:r>
          </w:p>
          <w:p>
            <w:pPr>
              <w:pStyle w:val="TableContents"/>
              <w:bidi w:val="0"/>
              <w:spacing w:before="60" w:after="283"/>
              <w:jc w:val="left"/>
              <w:rPr>
                <w:rFonts w:ascii="Montserrat;sans-serif" w:hAnsi="Montserrat;sans-serif"/>
                <w:color w:val="000000"/>
                <w:sz w:val="18"/>
              </w:rPr>
            </w:pPr>
            <w:r>
              <w:rPr>
                <w:rFonts w:ascii="Montserrat;sans-serif" w:hAnsi="Montserrat;sans-serif"/>
                <w:color w:val="000000"/>
                <w:sz w:val="18"/>
              </w:rPr>
              <w:t>Peer group data (no specific benchmark percentile or formula)</w:t>
            </w:r>
          </w:p>
          <w:p>
            <w:pPr>
              <w:pStyle w:val="TableContents"/>
              <w:bidi w:val="0"/>
              <w:spacing w:before="60" w:after="283"/>
              <w:jc w:val="left"/>
              <w:rPr>
                <w:color w:val="7855FA"/>
              </w:rPr>
            </w:pPr>
            <w:r>
              <w:rPr>
                <w:color w:val="7855FA"/>
              </w:rPr>
              <w:t>•</w:t>
            </w:r>
          </w:p>
          <w:p>
            <w:pPr>
              <w:pStyle w:val="TableContents"/>
              <w:bidi w:val="0"/>
              <w:spacing w:before="60" w:after="283"/>
              <w:jc w:val="left"/>
              <w:rPr>
                <w:rFonts w:ascii="Montserrat;sans-serif" w:hAnsi="Montserrat;sans-serif"/>
                <w:color w:val="000000"/>
                <w:sz w:val="18"/>
              </w:rPr>
            </w:pPr>
            <w:r>
              <w:rPr>
                <w:rFonts w:ascii="Montserrat;sans-serif" w:hAnsi="Montserrat;sans-serif"/>
                <w:color w:val="000000"/>
                <w:sz w:val="18"/>
              </w:rPr>
              <w:t>Scope of responsibilities</w:t>
            </w:r>
          </w:p>
          <w:p>
            <w:pPr>
              <w:pStyle w:val="TableContents"/>
              <w:bidi w:val="0"/>
              <w:spacing w:before="60" w:after="283"/>
              <w:jc w:val="left"/>
              <w:rPr>
                <w:color w:val="7855FA"/>
              </w:rPr>
            </w:pPr>
            <w:r>
              <w:rPr>
                <w:color w:val="7855FA"/>
              </w:rPr>
              <w:t>•</w:t>
            </w:r>
          </w:p>
          <w:p>
            <w:pPr>
              <w:pStyle w:val="TableContents"/>
              <w:bidi w:val="0"/>
              <w:spacing w:before="60" w:after="283"/>
              <w:jc w:val="left"/>
              <w:rPr>
                <w:rFonts w:ascii="Montserrat;sans-serif" w:hAnsi="Montserrat;sans-serif"/>
                <w:color w:val="000000"/>
                <w:sz w:val="18"/>
              </w:rPr>
            </w:pPr>
            <w:r>
              <w:rPr>
                <w:rFonts w:ascii="Montserrat;sans-serif" w:hAnsi="Montserrat;sans-serif"/>
                <w:color w:val="000000"/>
                <w:sz w:val="18"/>
              </w:rPr>
              <w:t>Experience</w:t>
            </w:r>
          </w:p>
          <w:p>
            <w:pPr>
              <w:pStyle w:val="TableContents"/>
              <w:bidi w:val="0"/>
              <w:spacing w:before="60" w:after="283"/>
              <w:jc w:val="left"/>
              <w:rPr>
                <w:color w:val="7855FA"/>
              </w:rPr>
            </w:pPr>
            <w:r>
              <w:rPr>
                <w:color w:val="7855FA"/>
              </w:rPr>
              <w:t>•</w:t>
            </w:r>
          </w:p>
          <w:p>
            <w:pPr>
              <w:pStyle w:val="TableContents"/>
              <w:bidi w:val="0"/>
              <w:spacing w:before="60" w:after="283"/>
              <w:jc w:val="left"/>
              <w:rPr>
                <w:rFonts w:ascii="Montserrat;sans-serif" w:hAnsi="Montserrat;sans-serif"/>
                <w:color w:val="000000"/>
                <w:sz w:val="18"/>
              </w:rPr>
            </w:pPr>
            <w:r>
              <w:rPr>
                <w:rFonts w:ascii="Montserrat;sans-serif" w:hAnsi="Montserrat;sans-serif"/>
                <w:color w:val="000000"/>
                <w:sz w:val="18"/>
              </w:rPr>
              <w:t>Performance</w:t>
            </w:r>
          </w:p>
          <w:p>
            <w:pPr>
              <w:pStyle w:val="TableContents"/>
              <w:bidi w:val="0"/>
              <w:spacing w:before="60" w:after="60"/>
              <w:jc w:val="left"/>
              <w:rPr>
                <w:color w:val="7855FA"/>
              </w:rPr>
            </w:pPr>
            <w:r>
              <w:rPr>
                <w:color w:val="7855FA"/>
              </w:rPr>
              <w:t>•</w:t>
            </w:r>
          </w:p>
          <w:p>
            <w:pPr>
              <w:pStyle w:val="TableContents"/>
              <w:bidi w:val="0"/>
              <w:spacing w:before="60" w:after="60"/>
              <w:jc w:val="left"/>
              <w:rPr>
                <w:rFonts w:ascii="Montserrat;sans-serif" w:hAnsi="Montserrat;sans-serif"/>
                <w:color w:val="000000"/>
                <w:sz w:val="18"/>
              </w:rPr>
            </w:pPr>
            <w:r>
              <w:rPr>
                <w:rFonts w:ascii="Montserrat;sans-serif" w:hAnsi="Montserrat;sans-serif"/>
                <w:color w:val="000000"/>
                <w:sz w:val="18"/>
              </w:rPr>
              <w:t>Internal equity</w:t>
            </w:r>
          </w:p>
        </w:tc>
        <w:tc>
          <w:tcPr>
            <w:tcW w:w="391" w:type="dxa"/>
            <w:tcBorders>
              <w:bottom w:val="single" w:sz="4" w:space="0" w:color="000000"/>
            </w:tcBorders>
            <w:tcMar>
              <w:top w:w="0" w:type="dxa"/>
              <w:left w:w="0" w:type="dxa"/>
              <w:right w:w="0" w:type="dxa"/>
            </w:tcMar>
            <w:vAlign w:val="center"/>
          </w:tcPr>
          <w:p>
            <w:pPr>
              <w:pStyle w:val="TableContents"/>
              <w:pBdr/>
              <w:bidi w:val="0"/>
              <w:spacing w:before="120" w:after="60"/>
              <w:ind w:left="0" w:right="0" w:firstLine="245"/>
              <w:jc w:val="left"/>
              <w:rPr/>
            </w:pPr>
            <w:r>
              <w:rPr/>
              <w:t> </w:t>
            </w:r>
          </w:p>
        </w:tc>
        <w:tc>
          <w:tcPr>
            <w:tcW w:w="3231" w:type="dxa"/>
            <w:tcBorders>
              <w:bottom w:val="single" w:sz="4" w:space="0" w:color="000000"/>
            </w:tcBorders>
            <w:tcMar>
              <w:top w:w="0" w:type="dxa"/>
              <w:left w:w="0" w:type="dxa"/>
              <w:right w:w="0" w:type="dxa"/>
            </w:tcMar>
            <w:vAlign w:val="center"/>
          </w:tcPr>
          <w:p>
            <w:pPr>
              <w:pStyle w:val="TableContents"/>
              <w:bidi w:val="0"/>
              <w:spacing w:before="60" w:after="283"/>
              <w:jc w:val="left"/>
              <w:rPr>
                <w:color w:val="7855FA"/>
              </w:rPr>
            </w:pPr>
            <w:r>
              <w:rPr>
                <w:color w:val="7855FA"/>
              </w:rPr>
              <w:t>•</w:t>
            </w:r>
          </w:p>
          <w:p>
            <w:pPr>
              <w:pStyle w:val="TableContents"/>
              <w:bidi w:val="0"/>
              <w:spacing w:before="60" w:after="283"/>
              <w:jc w:val="left"/>
              <w:rPr>
                <w:rFonts w:ascii="Montserrat;sans-serif" w:hAnsi="Montserrat;sans-serif"/>
                <w:color w:val="000000"/>
                <w:sz w:val="18"/>
              </w:rPr>
            </w:pPr>
            <w:r>
              <w:rPr>
                <w:rFonts w:ascii="Montserrat;sans-serif" w:hAnsi="Montserrat;sans-serif"/>
                <w:color w:val="000000"/>
                <w:sz w:val="18"/>
              </w:rPr>
              <w:t>Provides a market competitive rate of pay aligned to role responsibilities</w:t>
            </w:r>
          </w:p>
        </w:tc>
      </w:tr>
      <w:tr>
        <w:trPr/>
        <w:tc>
          <w:tcPr>
            <w:tcW w:w="1381" w:type="dxa"/>
            <w:tcBorders>
              <w:bottom w:val="single" w:sz="4" w:space="0" w:color="000000"/>
            </w:tcBorders>
            <w:tcMar>
              <w:top w:w="0" w:type="dxa"/>
              <w:left w:w="0" w:type="dxa"/>
              <w:right w:w="0" w:type="dxa"/>
            </w:tcMar>
            <w:vAlign w:val="center"/>
          </w:tcPr>
          <w:p>
            <w:pPr>
              <w:pStyle w:val="TableContents"/>
              <w:bidi w:val="0"/>
              <w:spacing w:before="60" w:after="283"/>
              <w:jc w:val="left"/>
              <w:rPr>
                <w:rFonts w:ascii="Montserrat;Montserrat Medium;sans-serif" w:hAnsi="Montserrat;Montserrat Medium;sans-serif"/>
                <w:b/>
                <w:color w:val="7855FA"/>
                <w:sz w:val="18"/>
              </w:rPr>
            </w:pPr>
            <w:r>
              <w:rPr>
                <w:rFonts w:ascii="Montserrat;Montserrat Medium;sans-serif" w:hAnsi="Montserrat;Montserrat Medium;sans-serif"/>
                <w:b/>
                <w:color w:val="7855FA"/>
                <w:sz w:val="18"/>
              </w:rPr>
              <w:t>Annual Incentive</w:t>
            </w:r>
          </w:p>
          <w:p>
            <w:pPr>
              <w:pStyle w:val="TableContents"/>
              <w:bidi w:val="0"/>
              <w:spacing w:before="12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12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60" w:after="283"/>
              <w:jc w:val="left"/>
              <w:rPr>
                <w:rFonts w:ascii="Montserrat;sans-serif" w:hAnsi="Montserrat;sans-serif"/>
                <w:color w:val="000000"/>
                <w:sz w:val="18"/>
              </w:rPr>
            </w:pPr>
            <w:r>
              <w:rPr>
                <w:rFonts w:ascii="Montserrat;sans-serif" w:hAnsi="Montserrat;sans-serif"/>
                <w:color w:val="000000"/>
                <w:sz w:val="18"/>
              </w:rPr>
              <w:t>Cash</w:t>
            </w:r>
          </w:p>
        </w:tc>
        <w:tc>
          <w:tcPr>
            <w:tcW w:w="146" w:type="dxa"/>
            <w:tcBorders>
              <w:bottom w:val="single" w:sz="4" w:space="0" w:color="000000"/>
            </w:tcBorders>
            <w:tcMar>
              <w:top w:w="0" w:type="dxa"/>
              <w:left w:w="0" w:type="dxa"/>
              <w:right w:w="0" w:type="dxa"/>
            </w:tcMar>
            <w:vAlign w:val="center"/>
          </w:tcPr>
          <w:p>
            <w:pPr>
              <w:pStyle w:val="TableContents"/>
              <w:bidi w:val="0"/>
              <w:spacing w:before="120" w:after="283"/>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60" w:after="283"/>
              <w:jc w:val="left"/>
              <w:rPr>
                <w:rFonts w:ascii="Montserrat;sans-serif" w:hAnsi="Montserrat;sans-serif"/>
                <w:color w:val="000000"/>
                <w:sz w:val="18"/>
              </w:rPr>
            </w:pPr>
            <w:r>
              <w:rPr>
                <w:rFonts w:ascii="Montserrat;sans-serif" w:hAnsi="Montserrat;sans-serif"/>
                <w:color w:val="000000"/>
                <w:sz w:val="18"/>
              </w:rPr>
              <w:t>1 Year</w:t>
            </w:r>
          </w:p>
        </w:tc>
        <w:tc>
          <w:tcPr>
            <w:tcW w:w="391" w:type="dxa"/>
            <w:tcBorders>
              <w:bottom w:val="single" w:sz="4" w:space="0" w:color="000000"/>
            </w:tcBorders>
            <w:tcMar>
              <w:top w:w="0" w:type="dxa"/>
              <w:left w:w="0" w:type="dxa"/>
              <w:right w:w="0" w:type="dxa"/>
            </w:tcMar>
            <w:vAlign w:val="center"/>
          </w:tcPr>
          <w:p>
            <w:pPr>
              <w:pStyle w:val="TableContents"/>
              <w:bidi w:val="0"/>
              <w:spacing w:before="120" w:after="283"/>
              <w:ind w:left="0" w:right="0" w:firstLine="245"/>
              <w:jc w:val="left"/>
              <w:rPr/>
            </w:pPr>
            <w:r>
              <w:rPr/>
              <w:t> </w:t>
            </w:r>
          </w:p>
        </w:tc>
        <w:tc>
          <w:tcPr>
            <w:tcW w:w="2822" w:type="dxa"/>
            <w:tcBorders>
              <w:bottom w:val="single" w:sz="4" w:space="0" w:color="000000"/>
            </w:tcBorders>
            <w:tcMar>
              <w:top w:w="0" w:type="dxa"/>
              <w:left w:w="0" w:type="dxa"/>
              <w:right w:w="0" w:type="dxa"/>
            </w:tcMar>
            <w:vAlign w:val="center"/>
          </w:tcPr>
          <w:p>
            <w:pPr>
              <w:pStyle w:val="TableContents"/>
              <w:bidi w:val="0"/>
              <w:spacing w:before="60" w:after="283"/>
              <w:jc w:val="left"/>
              <w:rPr>
                <w:color w:val="7855FA"/>
              </w:rPr>
            </w:pPr>
            <w:r>
              <w:rPr>
                <w:color w:val="7855FA"/>
              </w:rPr>
              <w:t>•</w:t>
            </w:r>
          </w:p>
          <w:p>
            <w:pPr>
              <w:pStyle w:val="TableContents"/>
              <w:bidi w:val="0"/>
              <w:spacing w:before="60" w:after="283"/>
              <w:jc w:val="left"/>
              <w:rPr>
                <w:rFonts w:ascii="Montserrat;sans-serif" w:hAnsi="Montserrat;sans-serif"/>
                <w:color w:val="000000"/>
                <w:sz w:val="18"/>
              </w:rPr>
            </w:pPr>
            <w:r>
              <w:rPr>
                <w:rFonts w:ascii="Montserrat;sans-serif" w:hAnsi="Montserrat;sans-serif"/>
                <w:color w:val="000000"/>
                <w:sz w:val="18"/>
              </w:rPr>
              <w:t>Target opportunities aligned to role, experience, performance, and peer group practices</w:t>
            </w:r>
          </w:p>
          <w:p>
            <w:pPr>
              <w:pStyle w:val="TableContents"/>
              <w:bidi w:val="0"/>
              <w:spacing w:before="60" w:after="283"/>
              <w:jc w:val="left"/>
              <w:rPr>
                <w:color w:val="7855FA"/>
              </w:rPr>
            </w:pPr>
            <w:r>
              <w:rPr>
                <w:color w:val="7855FA"/>
              </w:rPr>
              <w:t>•</w:t>
            </w:r>
          </w:p>
          <w:p>
            <w:pPr>
              <w:pStyle w:val="TableContents"/>
              <w:bidi w:val="0"/>
              <w:spacing w:before="60" w:after="283"/>
              <w:ind w:left="0" w:right="0" w:firstLine="187"/>
              <w:jc w:val="left"/>
              <w:rPr>
                <w:rFonts w:ascii="Montserrat;sans-serif" w:hAnsi="Montserrat;sans-serif"/>
                <w:color w:val="000000"/>
                <w:sz w:val="18"/>
              </w:rPr>
            </w:pPr>
            <w:r>
              <w:rPr>
                <w:rFonts w:ascii="Montserrat;sans-serif" w:hAnsi="Montserrat;sans-serif"/>
                <w:color w:val="000000"/>
                <w:sz w:val="18"/>
              </w:rPr>
              <w:t>Payouts aligned to business and individual performance</w:t>
            </w:r>
          </w:p>
        </w:tc>
        <w:tc>
          <w:tcPr>
            <w:tcW w:w="391" w:type="dxa"/>
            <w:tcBorders>
              <w:bottom w:val="single" w:sz="4" w:space="0" w:color="000000"/>
            </w:tcBorders>
            <w:tcMar>
              <w:top w:w="0" w:type="dxa"/>
              <w:left w:w="0" w:type="dxa"/>
              <w:right w:w="0" w:type="dxa"/>
            </w:tcMar>
            <w:vAlign w:val="center"/>
          </w:tcPr>
          <w:p>
            <w:pPr>
              <w:pStyle w:val="TableContents"/>
              <w:pBdr/>
              <w:bidi w:val="0"/>
              <w:spacing w:before="120" w:after="283"/>
              <w:ind w:left="0" w:right="0" w:firstLine="245"/>
              <w:jc w:val="left"/>
              <w:rPr/>
            </w:pPr>
            <w:r>
              <w:rPr/>
              <w:t> </w:t>
            </w:r>
          </w:p>
        </w:tc>
        <w:tc>
          <w:tcPr>
            <w:tcW w:w="3231" w:type="dxa"/>
            <w:tcBorders>
              <w:bottom w:val="single" w:sz="4" w:space="0" w:color="000000"/>
            </w:tcBorders>
            <w:tcMar>
              <w:top w:w="0" w:type="dxa"/>
              <w:left w:w="0" w:type="dxa"/>
              <w:right w:w="0" w:type="dxa"/>
            </w:tcMar>
            <w:vAlign w:val="center"/>
          </w:tcPr>
          <w:p>
            <w:pPr>
              <w:pStyle w:val="TableContents"/>
              <w:bidi w:val="0"/>
              <w:spacing w:before="60" w:after="283"/>
              <w:jc w:val="left"/>
              <w:rPr>
                <w:color w:val="7855FA"/>
              </w:rPr>
            </w:pPr>
            <w:r>
              <w:rPr>
                <w:color w:val="7855FA"/>
              </w:rPr>
              <w:t>•</w:t>
            </w:r>
          </w:p>
          <w:p>
            <w:pPr>
              <w:pStyle w:val="TableContents"/>
              <w:bidi w:val="0"/>
              <w:spacing w:before="60" w:after="283"/>
              <w:jc w:val="left"/>
              <w:rPr>
                <w:rFonts w:ascii="Montserrat;sans-serif" w:hAnsi="Montserrat;sans-serif"/>
                <w:color w:val="000000"/>
                <w:sz w:val="18"/>
              </w:rPr>
            </w:pPr>
            <w:r>
              <w:rPr>
                <w:rFonts w:ascii="Montserrat;sans-serif" w:hAnsi="Montserrat;sans-serif"/>
                <w:color w:val="000000"/>
                <w:sz w:val="18"/>
              </w:rPr>
              <w:t>Incentivizes the achievement of annual business objectives tied to achieving our shorter-term financial goals</w:t>
            </w:r>
          </w:p>
          <w:p>
            <w:pPr>
              <w:pStyle w:val="TableContents"/>
              <w:bidi w:val="0"/>
              <w:spacing w:before="60" w:after="60"/>
              <w:jc w:val="left"/>
              <w:rPr>
                <w:color w:val="7855FA"/>
              </w:rPr>
            </w:pPr>
            <w:r>
              <w:rPr>
                <w:color w:val="7855FA"/>
              </w:rPr>
              <w:t>•</w:t>
            </w:r>
          </w:p>
          <w:p>
            <w:pPr>
              <w:pStyle w:val="TableContents"/>
              <w:bidi w:val="0"/>
              <w:spacing w:before="60" w:after="60"/>
              <w:jc w:val="left"/>
              <w:rPr>
                <w:rFonts w:ascii="Montserrat;sans-serif" w:hAnsi="Montserrat;sans-serif"/>
                <w:color w:val="000000"/>
                <w:sz w:val="18"/>
              </w:rPr>
            </w:pPr>
            <w:r>
              <w:rPr>
                <w:rFonts w:ascii="Montserrat;sans-serif" w:hAnsi="Montserrat;sans-serif"/>
                <w:color w:val="000000"/>
                <w:sz w:val="18"/>
              </w:rPr>
              <w:t>Final payouts may be adjusted based on individual performance (no individual adjustments were made to the final fiscal year 2026 payouts to our NEOs)</w:t>
            </w:r>
          </w:p>
        </w:tc>
      </w:tr>
      <w:tr>
        <w:trPr/>
        <w:tc>
          <w:tcPr>
            <w:tcW w:w="1381" w:type="dxa"/>
            <w:tcBorders>
              <w:bottom w:val="single" w:sz="4" w:space="0" w:color="7855FA"/>
            </w:tcBorders>
            <w:tcMar>
              <w:top w:w="0" w:type="dxa"/>
              <w:left w:w="0" w:type="dxa"/>
              <w:right w:w="0" w:type="dxa"/>
            </w:tcMar>
            <w:vAlign w:val="center"/>
          </w:tcPr>
          <w:p>
            <w:pPr>
              <w:pStyle w:val="TableContents"/>
              <w:bidi w:val="0"/>
              <w:spacing w:before="60" w:after="283"/>
              <w:jc w:val="left"/>
              <w:rPr>
                <w:rFonts w:ascii="Montserrat;Montserrat Medium;sans-serif" w:hAnsi="Montserrat;Montserrat Medium;sans-serif"/>
                <w:b/>
                <w:color w:val="7855FA"/>
                <w:sz w:val="18"/>
              </w:rPr>
            </w:pPr>
            <w:r>
              <w:rPr>
                <w:rFonts w:ascii="Montserrat;Montserrat Medium;sans-serif" w:hAnsi="Montserrat;Montserrat Medium;sans-serif"/>
                <w:b/>
                <w:color w:val="7855FA"/>
                <w:sz w:val="18"/>
              </w:rPr>
              <w:t>Long-Term</w:t>
              <w:br/>
              <w:t>Incentive</w:t>
            </w:r>
          </w:p>
        </w:tc>
        <w:tc>
          <w:tcPr>
            <w:tcW w:w="146" w:type="dxa"/>
            <w:tcBorders>
              <w:bottom w:val="single" w:sz="4" w:space="0" w:color="7855F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7855FA"/>
            </w:tcBorders>
            <w:tcMar>
              <w:top w:w="0" w:type="dxa"/>
              <w:left w:w="0" w:type="dxa"/>
              <w:right w:w="0" w:type="dxa"/>
            </w:tcMar>
            <w:vAlign w:val="center"/>
          </w:tcPr>
          <w:p>
            <w:pPr>
              <w:pStyle w:val="TableContents"/>
              <w:bidi w:val="0"/>
              <w:spacing w:before="60" w:after="283"/>
              <w:jc w:val="left"/>
              <w:rPr>
                <w:rFonts w:ascii="Montserrat;sans-serif" w:hAnsi="Montserrat;sans-serif"/>
                <w:color w:val="000000"/>
                <w:sz w:val="18"/>
              </w:rPr>
            </w:pPr>
            <w:r>
              <w:rPr>
                <w:rFonts w:ascii="Montserrat;sans-serif" w:hAnsi="Montserrat;sans-serif"/>
                <w:color w:val="000000"/>
                <w:sz w:val="18"/>
              </w:rPr>
              <w:t>Equity</w:t>
            </w:r>
          </w:p>
        </w:tc>
        <w:tc>
          <w:tcPr>
            <w:tcW w:w="146" w:type="dxa"/>
            <w:tcBorders>
              <w:bottom w:val="single" w:sz="4" w:space="0" w:color="7855F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4" w:space="0" w:color="7855FA"/>
            </w:tcBorders>
            <w:tcMar>
              <w:top w:w="0" w:type="dxa"/>
              <w:left w:w="0" w:type="dxa"/>
              <w:right w:w="0" w:type="dxa"/>
            </w:tcMar>
            <w:vAlign w:val="center"/>
          </w:tcPr>
          <w:p>
            <w:pPr>
              <w:pStyle w:val="TableContents"/>
              <w:bidi w:val="0"/>
              <w:spacing w:before="60" w:after="283"/>
              <w:jc w:val="left"/>
              <w:rPr>
                <w:rFonts w:ascii="Montserrat;sans-serif" w:hAnsi="Montserrat;sans-serif"/>
                <w:color w:val="000000"/>
                <w:sz w:val="18"/>
              </w:rPr>
            </w:pPr>
            <w:r>
              <w:rPr>
                <w:rFonts w:ascii="Montserrat;sans-serif" w:hAnsi="Montserrat;sans-serif"/>
                <w:color w:val="000000"/>
                <w:sz w:val="18"/>
              </w:rPr>
              <w:t>3-4 Years</w:t>
            </w:r>
          </w:p>
        </w:tc>
        <w:tc>
          <w:tcPr>
            <w:tcW w:w="391" w:type="dxa"/>
            <w:tcBorders>
              <w:bottom w:val="single" w:sz="4" w:space="0" w:color="7855FA"/>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2822" w:type="dxa"/>
            <w:tcBorders>
              <w:bottom w:val="single" w:sz="4" w:space="0" w:color="7855FA"/>
            </w:tcBorders>
            <w:tcMar>
              <w:top w:w="0" w:type="dxa"/>
              <w:left w:w="0" w:type="dxa"/>
              <w:right w:w="0" w:type="dxa"/>
            </w:tcMar>
            <w:vAlign w:val="center"/>
          </w:tcPr>
          <w:p>
            <w:pPr>
              <w:pStyle w:val="TableContents"/>
              <w:bidi w:val="0"/>
              <w:spacing w:before="60" w:after="283"/>
              <w:jc w:val="left"/>
              <w:rPr>
                <w:color w:val="7855FA"/>
              </w:rPr>
            </w:pPr>
            <w:r>
              <w:rPr>
                <w:color w:val="7855FA"/>
              </w:rPr>
              <w:t>•</w:t>
            </w:r>
          </w:p>
          <w:p>
            <w:pPr>
              <w:pStyle w:val="TableContents"/>
              <w:bidi w:val="0"/>
              <w:spacing w:before="60" w:after="283"/>
              <w:jc w:val="left"/>
              <w:rPr>
                <w:rFonts w:ascii="Montserrat;sans-serif" w:hAnsi="Montserrat;sans-serif"/>
                <w:color w:val="000000"/>
                <w:sz w:val="18"/>
              </w:rPr>
            </w:pPr>
            <w:r>
              <w:rPr>
                <w:rFonts w:ascii="Montserrat;sans-serif" w:hAnsi="Montserrat;sans-serif"/>
                <w:color w:val="000000"/>
                <w:sz w:val="18"/>
              </w:rPr>
              <w:t>Target awards aligned to market and influenced by contributions to business results and potential impact on future results</w:t>
            </w:r>
          </w:p>
          <w:p>
            <w:pPr>
              <w:pStyle w:val="TableContents"/>
              <w:bidi w:val="0"/>
              <w:spacing w:before="60" w:after="60"/>
              <w:jc w:val="left"/>
              <w:rPr>
                <w:color w:val="7855FA"/>
              </w:rPr>
            </w:pPr>
            <w:r>
              <w:rPr>
                <w:color w:val="7855FA"/>
              </w:rPr>
              <w:t>•</w:t>
            </w:r>
          </w:p>
          <w:p>
            <w:pPr>
              <w:pStyle w:val="TableContents"/>
              <w:bidi w:val="0"/>
              <w:spacing w:before="60" w:after="60"/>
              <w:ind w:left="0" w:right="0" w:firstLine="187"/>
              <w:jc w:val="left"/>
              <w:rPr>
                <w:rFonts w:ascii="Montserrat;sans-serif" w:hAnsi="Montserrat;sans-serif"/>
                <w:color w:val="000000"/>
                <w:sz w:val="18"/>
              </w:rPr>
            </w:pPr>
            <w:r>
              <w:rPr>
                <w:rFonts w:ascii="Montserrat;sans-serif" w:hAnsi="Montserrat;sans-serif"/>
                <w:color w:val="000000"/>
                <w:sz w:val="18"/>
              </w:rPr>
              <w:t>Value realized driven by share price and our performance relative to Nasdaq Composite companies</w:t>
            </w:r>
          </w:p>
        </w:tc>
        <w:tc>
          <w:tcPr>
            <w:tcW w:w="391" w:type="dxa"/>
            <w:tcBorders>
              <w:bottom w:val="single" w:sz="4" w:space="0" w:color="7855FA"/>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3231" w:type="dxa"/>
            <w:tcBorders>
              <w:bottom w:val="single" w:sz="4" w:space="0" w:color="7855FA"/>
            </w:tcBorders>
            <w:tcMar>
              <w:top w:w="0" w:type="dxa"/>
              <w:left w:w="0" w:type="dxa"/>
              <w:right w:w="0" w:type="dxa"/>
            </w:tcMar>
            <w:vAlign w:val="center"/>
          </w:tcPr>
          <w:p>
            <w:pPr>
              <w:pStyle w:val="TableContents"/>
              <w:bidi w:val="0"/>
              <w:spacing w:before="60" w:after="283"/>
              <w:jc w:val="left"/>
              <w:rPr>
                <w:color w:val="7855FA"/>
              </w:rPr>
            </w:pPr>
            <w:r>
              <w:rPr>
                <w:color w:val="7855FA"/>
              </w:rPr>
              <w:t>•</w:t>
            </w:r>
          </w:p>
          <w:p>
            <w:pPr>
              <w:pStyle w:val="TableContents"/>
              <w:bidi w:val="0"/>
              <w:spacing w:before="60" w:after="283"/>
              <w:jc w:val="left"/>
              <w:rPr>
                <w:rFonts w:ascii="Montserrat;sans-serif" w:hAnsi="Montserrat;sans-serif"/>
                <w:color w:val="000000"/>
                <w:sz w:val="18"/>
              </w:rPr>
            </w:pPr>
            <w:r>
              <w:rPr>
                <w:rFonts w:ascii="Montserrat;sans-serif" w:hAnsi="Montserrat;sans-serif"/>
                <w:color w:val="000000"/>
                <w:sz w:val="18"/>
              </w:rPr>
              <w:t>Promotes the achievement of our long-term strategic goals that drive our share price and create stockholder value</w:t>
            </w:r>
          </w:p>
          <w:p>
            <w:pPr>
              <w:pStyle w:val="TableContents"/>
              <w:bidi w:val="0"/>
              <w:spacing w:before="60" w:after="283"/>
              <w:jc w:val="left"/>
              <w:rPr>
                <w:color w:val="7855FA"/>
              </w:rPr>
            </w:pPr>
            <w:r>
              <w:rPr>
                <w:color w:val="7855FA"/>
              </w:rPr>
              <w:t>•</w:t>
            </w:r>
          </w:p>
          <w:p>
            <w:pPr>
              <w:pStyle w:val="TableContents"/>
              <w:bidi w:val="0"/>
              <w:spacing w:before="60" w:after="283"/>
              <w:jc w:val="left"/>
              <w:rPr>
                <w:rFonts w:ascii="Montserrat;sans-serif" w:hAnsi="Montserrat;sans-serif"/>
                <w:color w:val="000000"/>
                <w:sz w:val="18"/>
              </w:rPr>
            </w:pPr>
            <w:r>
              <w:rPr>
                <w:rFonts w:ascii="Montserrat;sans-serif" w:hAnsi="Montserrat;sans-serif"/>
                <w:color w:val="000000"/>
                <w:sz w:val="18"/>
              </w:rPr>
              <w:t>Retention</w:t>
            </w:r>
          </w:p>
        </w:tc>
      </w:tr>
    </w:tbl>
    <w:p>
      <w:pPr>
        <w:pStyle w:val="TextBody"/>
        <w:bidi w:val="0"/>
        <w:jc w:val="both"/>
        <w:rPr/>
      </w:pPr>
      <w:r>
        <w:rPr/>
        <w:t> </w:t>
      </w:r>
    </w:p>
    <w:p>
      <w:pPr>
        <w:pStyle w:val="TextBody"/>
        <w:bidi w:val="0"/>
        <w:jc w:val="both"/>
        <w:rPr>
          <w:rFonts w:ascii="Montserrat;sans-serif" w:hAnsi="Montserrat;sans-serif"/>
          <w:color w:val="000000"/>
          <w:sz w:val="18"/>
        </w:rPr>
      </w:pPr>
      <w:r>
        <w:rPr>
          <w:rFonts w:ascii="Montserrat;sans-serif" w:hAnsi="Montserrat;sans-serif"/>
          <w:color w:val="000000"/>
          <w:sz w:val="18"/>
        </w:rPr>
        <w:t>We also provide our executive officers with comprehensive employee benefit programs, such as medical, dental, and vision insurance, a 401(k) plan, life and disability insurance, flexible spending accounts, an employee stock purchase plan, and other plans and programs generally made available to other full-time salaried employees. In addition, our NEOs are provided severance and change of control-related protections generally limited to senior-level executives.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We believe these components provide a compensation package that attracts and retains qualified individuals, links individual compensation opportunities to both individual and company performance, focuses the efforts of executive officers on the achievement of both our short-term and long-term objectives, and aligns the interests of our executive officers with those of our stockholders. Further, our executive compensation program encourages a long-term focus by placing a heavy emphasis on equity awards, the value of which depends on our stock price performance and our ability to execute against our long-term objectives.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specific decisions approved by the Compensation Committee for our NEOs during fiscal year 2026, including short-term and long-term incentive design and performance goals, are discussed in detail below.</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2641"/>
        <w:gridCol w:w="331"/>
      </w:tblGrid>
      <w:tr>
        <w:trPr/>
        <w:tc>
          <w:tcPr>
            <w:tcW w:w="26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181"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70" descr=""/>
                          <pic:cNvPicPr>
                            <a:picLocks noChangeAspect="1" noChangeArrowheads="1"/>
                          </pic:cNvPicPr>
                        </pic:nvPicPr>
                        <pic:blipFill>
                          <a:blip r:embed="rId174"/>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3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43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rFonts w:ascii="Montserrat;sans-serif" w:hAnsi="Montserrat;sans-serif"/>
          <w:color w:val="000000"/>
          <w:sz w:val="13"/>
        </w:rPr>
      </w:pPr>
      <w:r>
        <w:rPr>
          <w:rFonts w:ascii="Montserrat;sans-serif" w:hAnsi="Montserrat;sans-serif"/>
          <w:color w:val="000000"/>
          <w:sz w:val="13"/>
        </w:rPr>
        <w:t>Executive Compensation</w:t>
      </w:r>
    </w:p>
    <w:p>
      <w:pPr>
        <w:pStyle w:val="TextBody"/>
        <w:bidi w:val="0"/>
        <w:spacing w:before="60" w:after="283"/>
        <w:jc w:val="left"/>
        <w:rPr>
          <w:rFonts w:ascii="Montserrat;sans-serif" w:hAnsi="Montserrat;sans-serif"/>
          <w:color w:val="000000"/>
          <w:sz w:val="12"/>
        </w:rPr>
      </w:pPr>
      <w:r>
        <w:rPr>
          <w:rFonts w:ascii="Montserrat;sans-serif" w:hAnsi="Montserrat;sans-serif"/>
          <w:color w:val="000000"/>
          <w:sz w:val="12"/>
        </w:rPr>
        <w:t>Compensation Discussion and Analysis</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Fiscal Year 2026 Compensation Mix</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mix of target total direct compensation for our CEO, Mr. Ramaswami, and our other NEOs for fiscal year 2026 was as follows:</w:t>
      </w:r>
    </w:p>
    <w:p>
      <w:pPr>
        <w:pStyle w:val="TextBody"/>
        <w:bidi w:val="0"/>
        <w:jc w:val="both"/>
        <w:rPr/>
      </w:pPr>
      <w:r>
        <w:rPr/>
        <w:t> </w:t>
      </w:r>
    </w:p>
    <w:p>
      <w:pPr>
        <w:pStyle w:val="TextBody"/>
        <w:bidi w:val="0"/>
        <w:jc w:val="center"/>
        <w:rPr/>
      </w:pPr>
      <w:r>
        <w:rPr/>
        <w:drawing>
          <wp:inline distT="0" distB="0" distL="0" distR="0">
            <wp:extent cx="6819900" cy="1828800"/>
            <wp:effectExtent l="0" t="0" r="0" b="0"/>
            <wp:docPr id="182"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71" descr=""/>
                    <pic:cNvPicPr>
                      <a:picLocks noChangeAspect="1" noChangeArrowheads="1"/>
                    </pic:cNvPicPr>
                  </pic:nvPicPr>
                  <pic:blipFill>
                    <a:blip r:embed="rId175"/>
                    <a:stretch>
                      <a:fillRect/>
                    </a:stretch>
                  </pic:blipFill>
                  <pic:spPr bwMode="auto">
                    <a:xfrm>
                      <a:off x="0" y="0"/>
                      <a:ext cx="6819900" cy="1828800"/>
                    </a:xfrm>
                    <a:prstGeom prst="rect">
                      <a:avLst/>
                    </a:prstGeom>
                  </pic:spPr>
                </pic:pic>
              </a:graphicData>
            </a:graphic>
          </wp:inline>
        </w:drawing>
      </w:r>
    </w:p>
    <w:p>
      <w:pPr>
        <w:pStyle w:val="TextBody"/>
        <w:bidi w:val="0"/>
        <w:jc w:val="both"/>
        <w:rPr/>
      </w:pPr>
      <w:r>
        <w:rPr/>
        <w:t> </w:t>
      </w:r>
    </w:p>
    <w:p>
      <w:pPr>
        <w:pStyle w:val="TextBody"/>
        <w:bidi w:val="0"/>
        <w:spacing w:before="180" w:after="283"/>
        <w:jc w:val="left"/>
        <w:rPr>
          <w:rFonts w:ascii="Montserrat;sans-serif" w:hAnsi="Montserrat;sans-serif"/>
          <w:b/>
          <w:color w:val="000000"/>
          <w:sz w:val="22"/>
        </w:rPr>
      </w:pPr>
      <w:r>
        <w:rPr>
          <w:rFonts w:ascii="Montserrat;sans-serif" w:hAnsi="Montserrat;sans-serif"/>
          <w:b/>
          <w:color w:val="000000"/>
          <w:sz w:val="22"/>
        </w:rPr>
        <w:t>Fiscal Year 2026 Base Salaries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As part of its review of our executive compensation program, the Compensation Committee set annual base salaries for each of our NEOs for fiscal year 2026, effective as of August 1, 2025. Based on its review, the Compensation Committee determined not to make any changes to annual base salaries relative to the prior year.</w:t>
      </w:r>
    </w:p>
    <w:p>
      <w:pPr>
        <w:pStyle w:val="TextBody"/>
        <w:bidi w:val="0"/>
        <w:jc w:val="both"/>
        <w:rPr/>
      </w:pPr>
      <w:r>
        <w:rPr/>
        <w:t> </w:t>
      </w:r>
    </w:p>
    <w:tbl>
      <w:tblPr>
        <w:tblW w:w="6530" w:type="dxa"/>
        <w:jc w:val="left"/>
        <w:tblInd w:w="0" w:type="dxa"/>
        <w:tblLayout w:type="fixed"/>
        <w:tblCellMar>
          <w:top w:w="28" w:type="dxa"/>
          <w:left w:w="28" w:type="dxa"/>
          <w:bottom w:w="28" w:type="dxa"/>
          <w:right w:w="28" w:type="dxa"/>
        </w:tblCellMar>
      </w:tblPr>
      <w:tblGrid>
        <w:gridCol w:w="2711"/>
        <w:gridCol w:w="146"/>
        <w:gridCol w:w="1741"/>
        <w:gridCol w:w="146"/>
        <w:gridCol w:w="1786"/>
      </w:tblGrid>
      <w:tr>
        <w:trPr/>
        <w:tc>
          <w:tcPr>
            <w:tcW w:w="2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Montserrat;sans-serif" w:hAnsi="Montserrat;sans-serif"/>
                <w:b/>
                <w:color w:val="7855FA"/>
                <w:sz w:val="18"/>
              </w:rPr>
            </w:pPr>
            <w:r>
              <w:rPr>
                <w:rFonts w:ascii="Montserrat;sans-serif" w:hAnsi="Montserrat;sans-serif"/>
                <w:b/>
                <w:color w:val="7855FA"/>
                <w:sz w:val="18"/>
              </w:rPr>
              <w:t>Named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1" w:type="dxa"/>
            <w:tcBorders/>
            <w:shd w:fill="FFFFFF" w:val="clear"/>
            <w:tcMar>
              <w:top w:w="0" w:type="dxa"/>
              <w:left w:w="0" w:type="dxa"/>
              <w:bottom w:w="0" w:type="dxa"/>
              <w:right w:w="0" w:type="dxa"/>
            </w:tcMar>
            <w:vAlign w:val="center"/>
          </w:tcPr>
          <w:p>
            <w:pPr>
              <w:pStyle w:val="TableContents"/>
              <w:bidi w:val="0"/>
              <w:spacing w:lineRule="auto" w:line="360" w:before="0" w:after="283"/>
              <w:jc w:val="right"/>
              <w:rPr>
                <w:rFonts w:ascii="Montserrat;sans-serif" w:hAnsi="Montserrat;sans-serif"/>
                <w:sz w:val="18"/>
              </w:rPr>
            </w:pPr>
            <w:r>
              <w:rPr>
                <w:rFonts w:ascii="Montserrat;sans-serif" w:hAnsi="Montserrat;sans-serif"/>
                <w:b/>
                <w:color w:val="7855FA"/>
                <w:sz w:val="18"/>
              </w:rPr>
              <w:t>Fiscal Year 2026</w:t>
              <w:br/>
              <w:t>Base Salary</w:t>
            </w:r>
            <w:r>
              <w:rPr>
                <w:rFonts w:ascii="Montserrat;sans-serif" w:hAnsi="Montserrat;sans-serif"/>
                <w:b/>
                <w:color w:val="7855FA"/>
                <w:sz w:val="12"/>
              </w:rPr>
              <w:t>(1)</w:t>
            </w:r>
            <w:r>
              <w:rPr>
                <w:rFonts w:ascii="Montserrat;sans-serif" w:hAnsi="Montserrat;sans-serif"/>
                <w:b/>
                <w:color w:val="7855FA"/>
                <w:sz w:val="18"/>
              </w:rPr>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8"/>
              </w:rPr>
            </w:pPr>
            <w:r>
              <w:rPr>
                <w:rFonts w:ascii="Montserrat;sans-serif" w:hAnsi="Montserrat;sans-serif"/>
                <w:b/>
                <w:color w:val="7855FA"/>
                <w:sz w:val="18"/>
              </w:rPr>
              <w:t>Change From</w:t>
              <w:br/>
              <w:t>Fiscal Year 2025</w:t>
            </w:r>
          </w:p>
        </w:tc>
      </w:tr>
      <w:tr>
        <w:trPr/>
        <w:tc>
          <w:tcPr>
            <w:tcW w:w="271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74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786"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2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Rajiv Ramaswami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800,000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rFonts w:ascii="Montserrat;sans-serif" w:hAnsi="Montserrat;sans-serif"/>
                <w:color w:val="000000"/>
                <w:sz w:val="18"/>
              </w:rPr>
            </w:pPr>
            <w:r>
              <w:rPr>
                <w:rFonts w:ascii="Montserrat;sans-serif" w:hAnsi="Montserrat;sans-serif"/>
                <w:color w:val="000000"/>
                <w:sz w:val="18"/>
              </w:rPr>
              <w:t>0%</w:t>
            </w:r>
          </w:p>
        </w:tc>
      </w:tr>
      <w:tr>
        <w:trPr/>
        <w:tc>
          <w:tcPr>
            <w:tcW w:w="2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Rukmini Sivaraman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520,000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rFonts w:ascii="Montserrat;sans-serif" w:hAnsi="Montserrat;sans-serif"/>
                <w:color w:val="000000"/>
                <w:sz w:val="18"/>
              </w:rPr>
            </w:pPr>
            <w:r>
              <w:rPr>
                <w:rFonts w:ascii="Montserrat;sans-serif" w:hAnsi="Montserrat;sans-serif"/>
                <w:color w:val="000000"/>
                <w:sz w:val="18"/>
              </w:rPr>
              <w:t>0%</w:t>
            </w:r>
          </w:p>
        </w:tc>
      </w:tr>
      <w:tr>
        <w:trPr/>
        <w:tc>
          <w:tcPr>
            <w:tcW w:w="2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Brian Martin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475,000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rFonts w:ascii="Montserrat;sans-serif" w:hAnsi="Montserrat;sans-serif"/>
                <w:color w:val="000000"/>
                <w:sz w:val="18"/>
              </w:rPr>
            </w:pPr>
            <w:r>
              <w:rPr>
                <w:rFonts w:ascii="Montserrat;sans-serif" w:hAnsi="Montserrat;sans-serif"/>
                <w:color w:val="000000"/>
                <w:sz w:val="18"/>
              </w:rPr>
              <w:t>0%</w:t>
            </w:r>
          </w:p>
        </w:tc>
      </w:tr>
      <w:tr>
        <w:trPr/>
        <w:tc>
          <w:tcPr>
            <w:tcW w:w="2711"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Tarkan Maner</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74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450,000</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78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0%</w:t>
            </w:r>
          </w:p>
        </w:tc>
      </w:tr>
    </w:tbl>
    <w:p>
      <w:pPr>
        <w:pStyle w:val="TextBody"/>
        <w:bidi w:val="0"/>
        <w:jc w:val="both"/>
        <w:rPr/>
      </w:pPr>
      <w:r>
        <w:rPr/>
        <w:t> </w:t>
      </w:r>
    </w:p>
    <w:p>
      <w:pPr>
        <w:pStyle w:val="TextBody"/>
        <w:bidi w:val="0"/>
        <w:jc w:val="both"/>
        <w:rPr/>
      </w:pPr>
      <w:r>
        <w:rPr/>
        <w:t> </w:t>
      </w:r>
    </w:p>
    <w:p>
      <w:pPr>
        <w:pStyle w:val="TextBody"/>
        <w:bidi w:val="0"/>
        <w:spacing w:before="0" w:after="0"/>
        <w:jc w:val="both"/>
        <w:rPr>
          <w:rFonts w:ascii="Montserrat;sans-serif" w:hAnsi="Montserrat;sans-serif"/>
          <w:color w:val="000000"/>
          <w:sz w:val="16"/>
        </w:rPr>
      </w:pPr>
      <w:r>
        <w:rPr>
          <w:rFonts w:ascii="Montserrat;sans-serif" w:hAnsi="Montserrat;sans-serif"/>
          <w:color w:val="000000"/>
          <w:sz w:val="16"/>
        </w:rPr>
        <w:t>(1)</w:t>
      </w:r>
    </w:p>
    <w:p>
      <w:pPr>
        <w:pStyle w:val="TextBody"/>
        <w:bidi w:val="0"/>
        <w:jc w:val="both"/>
        <w:rPr>
          <w:rFonts w:ascii="Montserrat;sans-serif" w:hAnsi="Montserrat;sans-serif"/>
          <w:color w:val="000000"/>
          <w:sz w:val="16"/>
        </w:rPr>
      </w:pPr>
      <w:r>
        <w:rPr>
          <w:rFonts w:ascii="Montserrat;sans-serif" w:hAnsi="Montserrat;sans-serif"/>
          <w:color w:val="000000"/>
          <w:sz w:val="16"/>
        </w:rPr>
        <w:t>As of July 31, 2026.</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Fiscal Year 2026 Target Annual Incentive Opportunities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target annual incentive opportunities for each of our NEOs during fiscal year 2026 are detailed below. The Compensation Committee determined not to make any changes relative to the prior year.</w:t>
      </w:r>
    </w:p>
    <w:p>
      <w:pPr>
        <w:pStyle w:val="TextBody"/>
        <w:bidi w:val="0"/>
        <w:jc w:val="both"/>
        <w:rPr/>
      </w:pPr>
      <w:r>
        <w:rPr/>
        <w:t> </w:t>
      </w:r>
    </w:p>
    <w:tbl>
      <w:tblPr>
        <w:tblW w:w="10042" w:type="dxa"/>
        <w:jc w:val="left"/>
        <w:tblInd w:w="0" w:type="dxa"/>
        <w:tblLayout w:type="fixed"/>
        <w:tblCellMar>
          <w:top w:w="28" w:type="dxa"/>
          <w:left w:w="28" w:type="dxa"/>
          <w:bottom w:w="28" w:type="dxa"/>
          <w:right w:w="28" w:type="dxa"/>
        </w:tblCellMar>
      </w:tblPr>
      <w:tblGrid>
        <w:gridCol w:w="2711"/>
        <w:gridCol w:w="146"/>
        <w:gridCol w:w="2521"/>
        <w:gridCol w:w="146"/>
        <w:gridCol w:w="2566"/>
        <w:gridCol w:w="146"/>
        <w:gridCol w:w="1806"/>
      </w:tblGrid>
      <w:tr>
        <w:trPr/>
        <w:tc>
          <w:tcPr>
            <w:tcW w:w="2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Montserrat;sans-serif" w:hAnsi="Montserrat;sans-serif"/>
                <w:b/>
                <w:color w:val="7855FA"/>
                <w:sz w:val="18"/>
              </w:rPr>
            </w:pPr>
            <w:r>
              <w:rPr>
                <w:rFonts w:ascii="Montserrat;sans-serif" w:hAnsi="Montserrat;sans-serif"/>
                <w:b/>
                <w:color w:val="7855FA"/>
                <w:sz w:val="18"/>
              </w:rPr>
              <w:t>Named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8"/>
              </w:rPr>
            </w:pPr>
            <w:r>
              <w:rPr>
                <w:rFonts w:ascii="Montserrat;sans-serif" w:hAnsi="Montserrat;sans-serif"/>
                <w:b/>
                <w:color w:val="7855FA"/>
                <w:sz w:val="18"/>
              </w:rPr>
              <w:t>Fiscal Year 2026 Annual</w:t>
              <w:br/>
              <w:t>Incentive Target</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8"/>
              </w:rPr>
            </w:pPr>
            <w:r>
              <w:rPr>
                <w:rFonts w:ascii="Montserrat;sans-serif" w:hAnsi="Montserrat;sans-serif"/>
                <w:b/>
                <w:color w:val="7855FA"/>
                <w:sz w:val="18"/>
              </w:rPr>
              <w:t>Annual Incentive Target</w:t>
              <w:br/>
              <w:t>(as % of Base Salary)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rFonts w:ascii="Montserrat;sans-serif" w:hAnsi="Montserrat;sans-serif"/>
                <w:b/>
                <w:color w:val="7855FA"/>
                <w:sz w:val="18"/>
              </w:rPr>
            </w:pPr>
            <w:r>
              <w:rPr>
                <w:rFonts w:ascii="Montserrat;sans-serif" w:hAnsi="Montserrat;sans-serif"/>
                <w:b/>
                <w:color w:val="7855FA"/>
                <w:sz w:val="18"/>
              </w:rPr>
              <w:t>Change From</w:t>
              <w:br/>
              <w:t>Fiscal Year 2025</w:t>
            </w:r>
          </w:p>
        </w:tc>
      </w:tr>
      <w:tr>
        <w:trPr/>
        <w:tc>
          <w:tcPr>
            <w:tcW w:w="2711"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252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256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806"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2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Rajiv Ramaswami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800,000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rFonts w:ascii="Montserrat;sans-serif" w:hAnsi="Montserrat;sans-serif"/>
                <w:color w:val="000000"/>
                <w:sz w:val="18"/>
              </w:rPr>
            </w:pPr>
            <w:r>
              <w:rPr>
                <w:rFonts w:ascii="Montserrat;sans-serif" w:hAnsi="Montserrat;sans-serif"/>
                <w:color w:val="000000"/>
                <w:sz w:val="18"/>
              </w:rPr>
              <w:t>0%</w:t>
            </w:r>
          </w:p>
        </w:tc>
      </w:tr>
      <w:tr>
        <w:trPr/>
        <w:tc>
          <w:tcPr>
            <w:tcW w:w="2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Rukmini Sivaraman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520,000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rFonts w:ascii="Montserrat;sans-serif" w:hAnsi="Montserrat;sans-serif"/>
                <w:color w:val="000000"/>
                <w:sz w:val="18"/>
              </w:rPr>
            </w:pPr>
            <w:r>
              <w:rPr>
                <w:rFonts w:ascii="Montserrat;sans-serif" w:hAnsi="Montserrat;sans-serif"/>
                <w:color w:val="000000"/>
                <w:sz w:val="18"/>
              </w:rPr>
              <w:t>0%</w:t>
            </w:r>
          </w:p>
        </w:tc>
      </w:tr>
      <w:tr>
        <w:trPr/>
        <w:tc>
          <w:tcPr>
            <w:tcW w:w="2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Brian Martin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356,250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rFonts w:ascii="Montserrat;sans-serif" w:hAnsi="Montserrat;sans-serif"/>
                <w:color w:val="000000"/>
                <w:sz w:val="18"/>
              </w:rPr>
            </w:pPr>
            <w:r>
              <w:rPr>
                <w:rFonts w:ascii="Montserrat;sans-serif" w:hAnsi="Montserrat;sans-serif"/>
                <w:color w:val="000000"/>
                <w:sz w:val="18"/>
              </w:rPr>
              <w:t>0%</w:t>
            </w:r>
          </w:p>
        </w:tc>
      </w:tr>
      <w:tr>
        <w:trPr/>
        <w:tc>
          <w:tcPr>
            <w:tcW w:w="2711"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Tarkan Maner</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252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337,500</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256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75%</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80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0%</w:t>
            </w:r>
          </w:p>
        </w:tc>
      </w:tr>
    </w:tbl>
    <w:p>
      <w:pPr>
        <w:pStyle w:val="TextBody"/>
        <w:bidi w:val="0"/>
        <w:jc w:val="both"/>
        <w:rPr/>
      </w:pPr>
      <w:r>
        <w:rPr/>
        <w:t> </w:t>
      </w:r>
    </w:p>
    <w:p>
      <w:pPr>
        <w:pStyle w:val="TextBody"/>
        <w:bidi w:val="0"/>
        <w:jc w:val="both"/>
        <w:rPr/>
      </w:pPr>
      <w:r>
        <w:rPr/>
        <w:t> </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301"/>
        <w:gridCol w:w="2671"/>
      </w:tblGrid>
      <w:tr>
        <w:trPr/>
        <w:tc>
          <w:tcPr>
            <w:tcW w:w="30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44</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183"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72" descr=""/>
                          <pic:cNvPicPr>
                            <a:picLocks noChangeAspect="1" noChangeArrowheads="1"/>
                          </pic:cNvPicPr>
                        </pic:nvPicPr>
                        <pic:blipFill>
                          <a:blip r:embed="rId176"/>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rFonts w:ascii="Montserrat;sans-serif" w:hAnsi="Montserrat;sans-serif"/>
          <w:color w:val="000000"/>
          <w:sz w:val="13"/>
        </w:rPr>
      </w:pPr>
      <w:r>
        <w:rPr>
          <w:rFonts w:ascii="Montserrat;sans-serif" w:hAnsi="Montserrat;sans-serif"/>
          <w:color w:val="000000"/>
          <w:sz w:val="13"/>
        </w:rPr>
        <w:t>Executive Compensation</w:t>
      </w:r>
    </w:p>
    <w:p>
      <w:pPr>
        <w:pStyle w:val="TextBody"/>
        <w:bidi w:val="0"/>
        <w:spacing w:before="60" w:after="283"/>
        <w:jc w:val="right"/>
        <w:rPr>
          <w:rFonts w:ascii="Montserrat;sans-serif" w:hAnsi="Montserrat;sans-serif"/>
          <w:color w:val="000000"/>
          <w:sz w:val="12"/>
        </w:rPr>
      </w:pPr>
      <w:r>
        <w:rPr>
          <w:rFonts w:ascii="Montserrat;sans-serif" w:hAnsi="Montserrat;sans-serif"/>
          <w:color w:val="000000"/>
          <w:sz w:val="12"/>
        </w:rPr>
        <w:t>Compensation Discussion and Analysis</w:t>
      </w:r>
    </w:p>
    <w:p>
      <w:pPr>
        <w:pStyle w:val="TextBody"/>
        <w:bidi w:val="0"/>
        <w:jc w:val="right"/>
        <w:rPr/>
      </w:pPr>
      <w:r>
        <w:rPr/>
        <w:t> </w:t>
      </w:r>
    </w:p>
    <w:p>
      <w:pPr>
        <w:pStyle w:val="TextBody"/>
        <w:bidi w:val="0"/>
        <w:jc w:val="right"/>
        <w:rPr/>
      </w:pPr>
      <w:r>
        <w:rPr/>
        <w:t> </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Fiscal Year 2026 Executive Incentive Compensation Plan</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Executive Incentive Compensation Plan provides for potential performance-based annual incentive payouts to our NEOs. Based on a review of business goals and market practices, and in consultation with both management and its independent compensation consultant, the Compensation Committee modified the fiscal year 2026 Executive Incentive Compensation Plan metrics and weightings. For fiscal year 2026, we changed the profitability metric to non-GAAP operating income from non-GAAP operating margin. The Compensation Committee believed that, together with ARR, non-GAAP operating income provided a balanced framework that supported recurring revenue growth and operating profitability while allowing management to continue investing in strategic growth initiatives. ARR remained the primary performance metric, weighted at 65%, and non-GAAP operating income was weighted at 35%.</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corporate objectives, which the Compensation Committee approved in the first fiscal quarter of 2026, were aligned with our annual operating plan. The levels of achievement aligned to a target-level payout were determined to be challenging, required substantial skill and effort on the part of senior management, and were weighted based on their relative importance. In addition, each NEO’s potential payout was subject to upward or downward adjustment based on a holistic assessment of individual performance.</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table below details the performance metrics under the fiscal year 2026 Executive Incentive Compensation Plan:</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570"/>
        <w:gridCol w:w="160"/>
        <w:gridCol w:w="5480"/>
        <w:gridCol w:w="160"/>
        <w:gridCol w:w="2835"/>
      </w:tblGrid>
      <w:tr>
        <w:trPr/>
        <w:tc>
          <w:tcPr>
            <w:tcW w:w="157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48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35" w:type="dxa"/>
            <w:tcBorders/>
            <w:vAlign w:val="center"/>
          </w:tcPr>
          <w:p>
            <w:pPr>
              <w:pStyle w:val="TableContents"/>
              <w:bidi w:val="0"/>
              <w:spacing w:before="0" w:after="283"/>
              <w:ind w:left="0" w:right="0" w:firstLine="14"/>
              <w:jc w:val="left"/>
              <w:rPr>
                <w:sz w:val="4"/>
                <w:szCs w:val="4"/>
              </w:rPr>
            </w:pPr>
            <w:r>
              <w:rPr>
                <w:sz w:val="4"/>
                <w:szCs w:val="4"/>
              </w:rPr>
            </w:r>
          </w:p>
        </w:tc>
      </w:tr>
      <w:tr>
        <w:trPr/>
        <w:tc>
          <w:tcPr>
            <w:tcW w:w="1570" w:type="dxa"/>
            <w:tcBorders>
              <w:bottom w:val="single" w:sz="4" w:space="0" w:color="7855FA"/>
            </w:tcBorders>
            <w:tcMar>
              <w:top w:w="0" w:type="dxa"/>
              <w:left w:w="0" w:type="dxa"/>
              <w:right w:w="0" w:type="dxa"/>
            </w:tcMar>
            <w:vAlign w:val="center"/>
          </w:tcPr>
          <w:p>
            <w:pPr>
              <w:pStyle w:val="TableContents"/>
              <w:bidi w:val="0"/>
              <w:spacing w:before="0" w:after="40"/>
              <w:ind w:left="14" w:right="0" w:firstLine="14"/>
              <w:jc w:val="left"/>
              <w:rPr>
                <w:rFonts w:ascii="Montserrat;sans-serif" w:hAnsi="Montserrat;sans-serif"/>
                <w:b/>
                <w:color w:val="7855FA"/>
                <w:sz w:val="18"/>
              </w:rPr>
            </w:pPr>
            <w:r>
              <w:rPr>
                <w:rFonts w:ascii="Montserrat;sans-serif" w:hAnsi="Montserrat;sans-serif"/>
                <w:b/>
                <w:color w:val="7855FA"/>
                <w:sz w:val="18"/>
              </w:rPr>
              <w:t>Performance Metric</w:t>
            </w:r>
          </w:p>
        </w:tc>
        <w:tc>
          <w:tcPr>
            <w:tcW w:w="160" w:type="dxa"/>
            <w:tcBorders>
              <w:bottom w:val="single" w:sz="4" w:space="0" w:color="7855FA"/>
            </w:tcBorders>
            <w:tcMar>
              <w:top w:w="0" w:type="dxa"/>
              <w:left w:w="0" w:type="dxa"/>
              <w:right w:w="0" w:type="dxa"/>
            </w:tcMar>
            <w:vAlign w:val="center"/>
          </w:tcPr>
          <w:p>
            <w:pPr>
              <w:pStyle w:val="TableContents"/>
              <w:bidi w:val="0"/>
              <w:spacing w:before="0" w:after="283"/>
              <w:ind w:left="0" w:right="0" w:firstLine="14"/>
              <w:jc w:val="left"/>
              <w:rPr/>
            </w:pPr>
            <w:r>
              <w:rPr/>
              <w:t> </w:t>
            </w:r>
          </w:p>
        </w:tc>
        <w:tc>
          <w:tcPr>
            <w:tcW w:w="5480" w:type="dxa"/>
            <w:tcBorders>
              <w:bottom w:val="single" w:sz="4" w:space="0" w:color="7855FA"/>
            </w:tcBorders>
            <w:tcMar>
              <w:top w:w="0" w:type="dxa"/>
              <w:left w:w="0" w:type="dxa"/>
              <w:right w:w="0" w:type="dxa"/>
            </w:tcMar>
            <w:vAlign w:val="center"/>
          </w:tcPr>
          <w:p>
            <w:pPr>
              <w:pStyle w:val="TableContents"/>
              <w:bidi w:val="0"/>
              <w:spacing w:before="0" w:after="40"/>
              <w:ind w:left="14" w:right="0" w:firstLine="14"/>
              <w:jc w:val="left"/>
              <w:rPr>
                <w:rFonts w:ascii="Montserrat;sans-serif" w:hAnsi="Montserrat;sans-serif"/>
                <w:b/>
                <w:color w:val="7855FA"/>
                <w:sz w:val="18"/>
              </w:rPr>
            </w:pPr>
            <w:r>
              <w:rPr>
                <w:rFonts w:ascii="Montserrat;sans-serif" w:hAnsi="Montserrat;sans-serif"/>
                <w:b/>
                <w:color w:val="7855FA"/>
                <w:sz w:val="18"/>
              </w:rPr>
              <w:t>Definition</w:t>
            </w:r>
          </w:p>
        </w:tc>
        <w:tc>
          <w:tcPr>
            <w:tcW w:w="160" w:type="dxa"/>
            <w:tcBorders>
              <w:bottom w:val="single" w:sz="4" w:space="0" w:color="7855FA"/>
            </w:tcBorders>
            <w:tcMar>
              <w:top w:w="0" w:type="dxa"/>
              <w:left w:w="0" w:type="dxa"/>
              <w:right w:w="0" w:type="dxa"/>
            </w:tcMar>
            <w:vAlign w:val="center"/>
          </w:tcPr>
          <w:p>
            <w:pPr>
              <w:pStyle w:val="TableContents"/>
              <w:bidi w:val="0"/>
              <w:spacing w:before="0" w:after="283"/>
              <w:ind w:left="0" w:right="0" w:firstLine="14"/>
              <w:jc w:val="left"/>
              <w:rPr/>
            </w:pPr>
            <w:r>
              <w:rPr/>
              <w:t> </w:t>
            </w:r>
          </w:p>
        </w:tc>
        <w:tc>
          <w:tcPr>
            <w:tcW w:w="2835" w:type="dxa"/>
            <w:tcBorders>
              <w:bottom w:val="single" w:sz="4" w:space="0" w:color="7855FA"/>
            </w:tcBorders>
            <w:tcMar>
              <w:top w:w="0" w:type="dxa"/>
              <w:left w:w="0" w:type="dxa"/>
              <w:right w:w="0" w:type="dxa"/>
            </w:tcMar>
            <w:vAlign w:val="center"/>
          </w:tcPr>
          <w:p>
            <w:pPr>
              <w:pStyle w:val="TableContents"/>
              <w:bidi w:val="0"/>
              <w:spacing w:before="0" w:after="40"/>
              <w:ind w:left="0" w:right="0" w:firstLine="14"/>
              <w:jc w:val="left"/>
              <w:rPr>
                <w:rFonts w:ascii="Montserrat;sans-serif" w:hAnsi="Montserrat;sans-serif"/>
                <w:b/>
                <w:color w:val="7855FA"/>
                <w:sz w:val="18"/>
              </w:rPr>
            </w:pPr>
            <w:r>
              <w:rPr>
                <w:rFonts w:ascii="Montserrat;sans-serif" w:hAnsi="Montserrat;sans-serif"/>
                <w:b/>
                <w:color w:val="7855FA"/>
                <w:sz w:val="18"/>
              </w:rPr>
              <w:t>Importance of the Performance Metric</w:t>
            </w:r>
          </w:p>
        </w:tc>
      </w:tr>
      <w:tr>
        <w:trPr/>
        <w:tc>
          <w:tcPr>
            <w:tcW w:w="1570" w:type="dxa"/>
            <w:tcBorders>
              <w:bottom w:val="single" w:sz="4" w:space="0" w:color="000000"/>
            </w:tcBorders>
            <w:tcMar>
              <w:top w:w="0" w:type="dxa"/>
              <w:left w:w="0" w:type="dxa"/>
              <w:right w:w="0" w:type="dxa"/>
            </w:tcMar>
            <w:vAlign w:val="center"/>
          </w:tcPr>
          <w:p>
            <w:pPr>
              <w:pStyle w:val="TableContents"/>
              <w:bidi w:val="0"/>
              <w:spacing w:before="40" w:after="283"/>
              <w:ind w:left="14" w:right="0" w:firstLine="14"/>
              <w:jc w:val="left"/>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Annual Recurring Revenue (ARR)</w:t>
            </w:r>
          </w:p>
        </w:tc>
        <w:tc>
          <w:tcPr>
            <w:tcW w:w="160" w:type="dxa"/>
            <w:tcBorders>
              <w:bottom w:val="single" w:sz="4" w:space="0" w:color="000000"/>
            </w:tcBorders>
            <w:tcMar>
              <w:top w:w="0" w:type="dxa"/>
              <w:left w:w="0" w:type="dxa"/>
              <w:right w:w="0" w:type="dxa"/>
            </w:tcMar>
            <w:vAlign w:val="center"/>
          </w:tcPr>
          <w:p>
            <w:pPr>
              <w:pStyle w:val="TableContents"/>
              <w:bidi w:val="0"/>
              <w:spacing w:before="40" w:after="283"/>
              <w:ind w:left="0" w:right="0" w:firstLine="14"/>
              <w:jc w:val="left"/>
              <w:rPr/>
            </w:pPr>
            <w:r>
              <w:rPr/>
              <w:t> </w:t>
            </w:r>
          </w:p>
        </w:tc>
        <w:tc>
          <w:tcPr>
            <w:tcW w:w="5480" w:type="dxa"/>
            <w:tcBorders>
              <w:bottom w:val="single" w:sz="4" w:space="0" w:color="000000"/>
            </w:tcBorders>
            <w:tcMar>
              <w:top w:w="0" w:type="dxa"/>
              <w:left w:w="0" w:type="dxa"/>
              <w:right w:w="0" w:type="dxa"/>
            </w:tcMar>
            <w:vAlign w:val="center"/>
          </w:tcPr>
          <w:p>
            <w:pPr>
              <w:pStyle w:val="TableContents"/>
              <w:bidi w:val="0"/>
              <w:spacing w:before="40" w:after="40"/>
              <w:ind w:left="0" w:right="0" w:firstLine="14"/>
              <w:jc w:val="left"/>
              <w:rPr>
                <w:rFonts w:ascii="Montserrat;sans-serif" w:hAnsi="Montserrat;sans-serif"/>
                <w:color w:val="000000"/>
                <w:sz w:val="18"/>
              </w:rPr>
            </w:pPr>
            <w:r>
              <w:rPr>
                <w:rFonts w:ascii="Montserrat;sans-serif" w:hAnsi="Montserrat;sans-serif"/>
                <w:color w:val="000000"/>
                <w:sz w:val="18"/>
              </w:rPr>
              <w:t>Annual Recurring Revenue, or ARR, is defined as the sum of ACV for all subscription contracts from all customers in effect as of the end of a specific period, assuming any subscription contract that expires is renewed on its existing terms. ARR excludes the value of professional services, non-portable software and support contracts and hardware sales. For the purposes of this calculation, we generally assume that the contract term begins on the date when the software is made available to the customer. ACV is defined as the total annualized value of a contract. The total annualized value for a contract is calculated by dividing the total value of the contract by the number of years in the term of such contract.</w:t>
            </w:r>
          </w:p>
        </w:tc>
        <w:tc>
          <w:tcPr>
            <w:tcW w:w="160" w:type="dxa"/>
            <w:tcBorders>
              <w:bottom w:val="single" w:sz="4" w:space="0" w:color="000000"/>
            </w:tcBorders>
            <w:tcMar>
              <w:top w:w="0" w:type="dxa"/>
              <w:left w:w="0" w:type="dxa"/>
              <w:right w:w="0" w:type="dxa"/>
            </w:tcMar>
            <w:vAlign w:val="center"/>
          </w:tcPr>
          <w:p>
            <w:pPr>
              <w:pStyle w:val="TableContents"/>
              <w:bidi w:val="0"/>
              <w:spacing w:before="40" w:after="40"/>
              <w:ind w:left="0" w:right="0" w:firstLine="14"/>
              <w:jc w:val="left"/>
              <w:rPr/>
            </w:pPr>
            <w:r>
              <w:rPr/>
              <w:t> </w:t>
            </w:r>
          </w:p>
        </w:tc>
        <w:tc>
          <w:tcPr>
            <w:tcW w:w="2835" w:type="dxa"/>
            <w:tcBorders>
              <w:bottom w:val="single" w:sz="4" w:space="0" w:color="000000"/>
            </w:tcBorders>
            <w:tcMar>
              <w:top w:w="0" w:type="dxa"/>
              <w:left w:w="0" w:type="dxa"/>
              <w:right w:w="0" w:type="dxa"/>
            </w:tcMar>
            <w:vAlign w:val="center"/>
          </w:tcPr>
          <w:p>
            <w:pPr>
              <w:pStyle w:val="TableContents"/>
              <w:bidi w:val="0"/>
              <w:spacing w:before="40" w:after="40"/>
              <w:ind w:left="0" w:right="0" w:firstLine="14"/>
              <w:jc w:val="left"/>
              <w:rPr>
                <w:rFonts w:ascii="Montserrat;sans-serif" w:hAnsi="Montserrat;sans-serif"/>
                <w:color w:val="000000"/>
                <w:sz w:val="18"/>
              </w:rPr>
            </w:pPr>
            <w:r>
              <w:rPr>
                <w:rFonts w:ascii="Montserrat;sans-serif" w:hAnsi="Montserrat;sans-serif"/>
                <w:color w:val="000000"/>
                <w:sz w:val="18"/>
              </w:rPr>
              <w:t>An indicator of the top-line growth of our subscription business (including our ability to acquire subscriptions with new customers and to retain and expand with existing customers) that normalizes for differences in contract durations.</w:t>
            </w:r>
          </w:p>
        </w:tc>
      </w:tr>
      <w:tr>
        <w:trPr/>
        <w:tc>
          <w:tcPr>
            <w:tcW w:w="1570" w:type="dxa"/>
            <w:tcBorders>
              <w:bottom w:val="single" w:sz="4" w:space="0" w:color="7855FA"/>
            </w:tcBorders>
            <w:tcMar>
              <w:top w:w="0" w:type="dxa"/>
              <w:left w:w="0" w:type="dxa"/>
              <w:right w:w="0" w:type="dxa"/>
            </w:tcMar>
            <w:vAlign w:val="center"/>
          </w:tcPr>
          <w:p>
            <w:pPr>
              <w:pStyle w:val="TableContents"/>
              <w:bidi w:val="0"/>
              <w:spacing w:before="40" w:after="283"/>
              <w:ind w:left="14" w:right="0" w:firstLine="14"/>
              <w:jc w:val="left"/>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Non-GAAP operating income</w:t>
            </w:r>
          </w:p>
        </w:tc>
        <w:tc>
          <w:tcPr>
            <w:tcW w:w="160" w:type="dxa"/>
            <w:tcBorders>
              <w:bottom w:val="single" w:sz="4" w:space="0" w:color="7855FA"/>
            </w:tcBorders>
            <w:tcMar>
              <w:top w:w="0" w:type="dxa"/>
              <w:left w:w="0" w:type="dxa"/>
              <w:right w:w="0" w:type="dxa"/>
            </w:tcMar>
            <w:vAlign w:val="center"/>
          </w:tcPr>
          <w:p>
            <w:pPr>
              <w:pStyle w:val="TableContents"/>
              <w:bidi w:val="0"/>
              <w:spacing w:before="40" w:after="283"/>
              <w:ind w:left="0" w:right="0" w:firstLine="14"/>
              <w:jc w:val="left"/>
              <w:rPr/>
            </w:pPr>
            <w:r>
              <w:rPr/>
              <w:t> </w:t>
            </w:r>
          </w:p>
        </w:tc>
        <w:tc>
          <w:tcPr>
            <w:tcW w:w="5480" w:type="dxa"/>
            <w:tcBorders>
              <w:bottom w:val="single" w:sz="4" w:space="0" w:color="7855FA"/>
            </w:tcBorders>
            <w:tcMar>
              <w:top w:w="0" w:type="dxa"/>
              <w:left w:w="0" w:type="dxa"/>
              <w:right w:w="0" w:type="dxa"/>
            </w:tcMar>
            <w:vAlign w:val="center"/>
          </w:tcPr>
          <w:p>
            <w:pPr>
              <w:pStyle w:val="TableContents"/>
              <w:bidi w:val="0"/>
              <w:spacing w:before="40" w:after="40"/>
              <w:ind w:left="14" w:right="0" w:firstLine="14"/>
              <w:jc w:val="left"/>
              <w:rPr>
                <w:rFonts w:ascii="Montserrat;sans-serif" w:hAnsi="Montserrat;sans-serif"/>
                <w:color w:val="000000"/>
                <w:sz w:val="18"/>
              </w:rPr>
            </w:pPr>
            <w:r>
              <w:rPr>
                <w:rFonts w:ascii="Montserrat;sans-serif" w:hAnsi="Montserrat;sans-serif"/>
                <w:color w:val="000000"/>
                <w:sz w:val="18"/>
              </w:rPr>
              <w:t>Non-GAAP operating income is defined as operating income adjusted to exclude stock-based compensation expense, amortization of acquired intangible assets, restructuring charges, litigation settlement accruals and legal fees related to certain non-ordinary course litigation matters, and costs associated with certain other non-recurring transactions.</w:t>
            </w:r>
          </w:p>
        </w:tc>
        <w:tc>
          <w:tcPr>
            <w:tcW w:w="160" w:type="dxa"/>
            <w:tcBorders>
              <w:bottom w:val="single" w:sz="4" w:space="0" w:color="7855FA"/>
            </w:tcBorders>
            <w:tcMar>
              <w:top w:w="0" w:type="dxa"/>
              <w:left w:w="0" w:type="dxa"/>
              <w:right w:w="0" w:type="dxa"/>
            </w:tcMar>
            <w:vAlign w:val="center"/>
          </w:tcPr>
          <w:p>
            <w:pPr>
              <w:pStyle w:val="TableContents"/>
              <w:bidi w:val="0"/>
              <w:spacing w:before="40" w:after="283"/>
              <w:ind w:left="0" w:right="0" w:firstLine="14"/>
              <w:jc w:val="left"/>
              <w:rPr/>
            </w:pPr>
            <w:r>
              <w:rPr/>
              <w:t> </w:t>
            </w:r>
          </w:p>
        </w:tc>
        <w:tc>
          <w:tcPr>
            <w:tcW w:w="2835" w:type="dxa"/>
            <w:tcBorders>
              <w:bottom w:val="single" w:sz="4" w:space="0" w:color="7855FA"/>
            </w:tcBorders>
            <w:tcMar>
              <w:top w:w="0" w:type="dxa"/>
              <w:left w:w="0" w:type="dxa"/>
              <w:right w:w="0" w:type="dxa"/>
            </w:tcMar>
            <w:vAlign w:val="center"/>
          </w:tcPr>
          <w:p>
            <w:pPr>
              <w:pStyle w:val="TableContents"/>
              <w:bidi w:val="0"/>
              <w:spacing w:before="40" w:after="40"/>
              <w:ind w:left="14" w:right="0" w:firstLine="14"/>
              <w:jc w:val="left"/>
              <w:rPr>
                <w:rFonts w:ascii="Montserrat;sans-serif" w:hAnsi="Montserrat;sans-serif"/>
                <w:color w:val="000000"/>
                <w:sz w:val="18"/>
              </w:rPr>
            </w:pPr>
            <w:r>
              <w:rPr>
                <w:rFonts w:ascii="Montserrat;sans-serif" w:hAnsi="Montserrat;sans-serif"/>
                <w:color w:val="000000"/>
                <w:sz w:val="18"/>
              </w:rPr>
              <w:t>An indicator of our ability to drive profitable growth by increasing operating profitability while continuing to invest in strategic growth initiatives. Aligns management incentives with our objective of balancing revenue growth and operating leverage.</w:t>
            </w:r>
          </w:p>
        </w:tc>
      </w:tr>
    </w:tbl>
    <w:p>
      <w:pPr>
        <w:pStyle w:val="TextBody"/>
        <w:bidi w:val="0"/>
        <w:jc w:val="both"/>
        <w:rPr/>
      </w:pPr>
      <w:r>
        <w:rPr/>
        <w:t> </w:t>
      </w:r>
    </w:p>
    <w:p>
      <w:pPr>
        <w:pStyle w:val="TextBody"/>
        <w:bidi w:val="0"/>
        <w:jc w:val="both"/>
        <w:rPr>
          <w:rFonts w:ascii="Montserrat;sans-serif" w:hAnsi="Montserrat;sans-serif"/>
          <w:color w:val="000000"/>
          <w:sz w:val="18"/>
        </w:rPr>
      </w:pPr>
      <w:r>
        <w:rPr>
          <w:rFonts w:ascii="Montserrat;sans-serif" w:hAnsi="Montserrat;sans-serif"/>
          <w:color w:val="000000"/>
          <w:sz w:val="18"/>
        </w:rPr>
        <w:t>The Compensation Committee selected these performance metrics because it believed they would represent objective measures that are strong indicators of the success of our growth and business strategy for fiscal year 2026.</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2641"/>
        <w:gridCol w:w="331"/>
      </w:tblGrid>
      <w:tr>
        <w:trPr/>
        <w:tc>
          <w:tcPr>
            <w:tcW w:w="26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184"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73" descr=""/>
                          <pic:cNvPicPr>
                            <a:picLocks noChangeAspect="1" noChangeArrowheads="1"/>
                          </pic:cNvPicPr>
                        </pic:nvPicPr>
                        <pic:blipFill>
                          <a:blip r:embed="rId177"/>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3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45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rFonts w:ascii="Montserrat;sans-serif" w:hAnsi="Montserrat;sans-serif"/>
          <w:color w:val="000000"/>
          <w:sz w:val="13"/>
        </w:rPr>
      </w:pPr>
      <w:r>
        <w:rPr>
          <w:rFonts w:ascii="Montserrat;sans-serif" w:hAnsi="Montserrat;sans-serif"/>
          <w:color w:val="000000"/>
          <w:sz w:val="13"/>
        </w:rPr>
        <w:t>Executive Compensation</w:t>
      </w:r>
    </w:p>
    <w:p>
      <w:pPr>
        <w:pStyle w:val="TextBody"/>
        <w:bidi w:val="0"/>
        <w:spacing w:before="60" w:after="283"/>
        <w:jc w:val="left"/>
        <w:rPr>
          <w:rFonts w:ascii="Montserrat;sans-serif" w:hAnsi="Montserrat;sans-serif"/>
          <w:color w:val="000000"/>
          <w:sz w:val="12"/>
        </w:rPr>
      </w:pPr>
      <w:r>
        <w:rPr>
          <w:rFonts w:ascii="Montserrat;sans-serif" w:hAnsi="Montserrat;sans-serif"/>
          <w:color w:val="000000"/>
          <w:sz w:val="12"/>
        </w:rPr>
        <w:t>Compensation Discussion and Analysis</w:t>
      </w:r>
    </w:p>
    <w:p>
      <w:pPr>
        <w:pStyle w:val="TextBody"/>
        <w:bidi w:val="0"/>
        <w:jc w:val="left"/>
        <w:rPr/>
      </w:pPr>
      <w:r>
        <w:rPr/>
        <w:t> </w:t>
      </w:r>
    </w:p>
    <w:p>
      <w:pPr>
        <w:pStyle w:val="TextBody"/>
        <w:bidi w:val="0"/>
        <w:jc w:val="left"/>
        <w:rPr/>
      </w:pPr>
      <w:r>
        <w:rPr/>
        <w:t> </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Actual incentive award amounts under the fiscal year 2026 Executive Incentive Compensation Plan were calculated as the sum of the weighted payout percentage for each performance metric multiplied by the target annual opportunity in effect for each NEO.</w:t>
      </w:r>
    </w:p>
    <w:p>
      <w:pPr>
        <w:pStyle w:val="TextBody"/>
        <w:bidi w:val="0"/>
        <w:jc w:val="both"/>
        <w:rPr/>
      </w:pPr>
      <w:r>
        <w:rPr/>
        <w:t> </w:t>
      </w:r>
    </w:p>
    <w:tbl>
      <w:tblPr>
        <w:tblW w:w="7340" w:type="dxa"/>
        <w:jc w:val="left"/>
        <w:tblInd w:w="0" w:type="dxa"/>
        <w:tblLayout w:type="fixed"/>
        <w:tblCellMar>
          <w:top w:w="28" w:type="dxa"/>
          <w:left w:w="28" w:type="dxa"/>
          <w:bottom w:w="28" w:type="dxa"/>
          <w:right w:w="28" w:type="dxa"/>
        </w:tblCellMar>
      </w:tblPr>
      <w:tblGrid>
        <w:gridCol w:w="1886"/>
        <w:gridCol w:w="146"/>
        <w:gridCol w:w="541"/>
        <w:gridCol w:w="1871"/>
        <w:gridCol w:w="146"/>
        <w:gridCol w:w="541"/>
        <w:gridCol w:w="1726"/>
        <w:gridCol w:w="146"/>
        <w:gridCol w:w="146"/>
        <w:gridCol w:w="191"/>
      </w:tblGrid>
      <w:tr>
        <w:trPr/>
        <w:tc>
          <w:tcPr>
            <w:tcW w:w="1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86" w:type="dxa"/>
            <w:vMerge w:val="restart"/>
            <w:tcBorders/>
            <w:shd w:fill="F0F0F0" w:val="clear"/>
            <w:tcMar>
              <w:top w:w="0" w:type="dxa"/>
              <w:left w:w="0" w:type="dxa"/>
              <w:bottom w:w="0" w:type="dxa"/>
              <w:right w:w="0" w:type="dxa"/>
            </w:tcMar>
            <w:vAlign w:val="center"/>
          </w:tcPr>
          <w:p>
            <w:pPr>
              <w:pStyle w:val="TableContents"/>
              <w:bidi w:val="0"/>
              <w:spacing w:before="120" w:after="283"/>
              <w:jc w:val="center"/>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Annual</w:t>
            </w:r>
          </w:p>
          <w:p>
            <w:pPr>
              <w:pStyle w:val="TableContents"/>
              <w:bidi w:val="0"/>
              <w:jc w:val="center"/>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Recurring</w:t>
            </w:r>
          </w:p>
          <w:p>
            <w:pPr>
              <w:pStyle w:val="TableContents"/>
              <w:bidi w:val="0"/>
              <w:jc w:val="center"/>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Revenue</w:t>
            </w:r>
          </w:p>
          <w:p>
            <w:pPr>
              <w:pStyle w:val="TableContents"/>
              <w:bidi w:val="0"/>
              <w:spacing w:before="0" w:after="120"/>
              <w:jc w:val="center"/>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Achievement %</w:t>
            </w:r>
          </w:p>
          <w:p>
            <w:pPr>
              <w:pStyle w:val="TableContents"/>
              <w:bidi w:val="0"/>
              <w:spacing w:before="0" w:after="120"/>
              <w:jc w:val="center"/>
              <w:rPr/>
            </w:pPr>
            <w:r>
              <w:rPr/>
              <w:drawing>
                <wp:inline distT="0" distB="0" distL="0" distR="0">
                  <wp:extent cx="1133475" cy="809625"/>
                  <wp:effectExtent l="0" t="0" r="0" b="0"/>
                  <wp:docPr id="185"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74" descr=""/>
                          <pic:cNvPicPr>
                            <a:picLocks noChangeAspect="1" noChangeArrowheads="1"/>
                          </pic:cNvPicPr>
                        </pic:nvPicPr>
                        <pic:blipFill>
                          <a:blip r:embed="rId178"/>
                          <a:stretch>
                            <a:fillRect/>
                          </a:stretch>
                        </pic:blipFill>
                        <pic:spPr bwMode="auto">
                          <a:xfrm>
                            <a:off x="0" y="0"/>
                            <a:ext cx="1133475" cy="80962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41" w:type="dxa"/>
            <w:vMerge w:val="restart"/>
            <w:tcBorders/>
            <w:tcMar>
              <w:top w:w="0" w:type="dxa"/>
              <w:left w:w="0" w:type="dxa"/>
              <w:bottom w:w="0" w:type="dxa"/>
              <w:right w:w="0" w:type="dxa"/>
            </w:tcMar>
            <w:vAlign w:val="center"/>
          </w:tcPr>
          <w:p>
            <w:pPr>
              <w:pStyle w:val="TableContents"/>
              <w:bidi w:val="0"/>
              <w:spacing w:before="120" w:after="283"/>
              <w:jc w:val="center"/>
              <w:rPr>
                <w:rFonts w:ascii="Montserrat;Montserrat Medium;sans-serif" w:hAnsi="Montserrat;Montserrat Medium;sans-serif"/>
                <w:b/>
                <w:color w:val="7855FA"/>
                <w:sz w:val="52"/>
              </w:rPr>
            </w:pPr>
            <w:r>
              <w:rPr>
                <w:rFonts w:ascii="Montserrat;Montserrat Medium;sans-serif" w:hAnsi="Montserrat;Montserrat Medium;sans-serif"/>
                <w:b/>
                <w:color w:val="7855FA"/>
                <w:sz w:val="52"/>
              </w:rPr>
              <w:t>+</w:t>
            </w:r>
          </w:p>
        </w:tc>
        <w:tc>
          <w:tcPr>
            <w:tcW w:w="1871" w:type="dxa"/>
            <w:vMerge w:val="restart"/>
            <w:tcBorders/>
            <w:shd w:fill="F0F0F0" w:val="clear"/>
            <w:tcMar>
              <w:top w:w="0" w:type="dxa"/>
              <w:left w:w="0" w:type="dxa"/>
              <w:bottom w:w="0" w:type="dxa"/>
              <w:right w:w="0" w:type="dxa"/>
            </w:tcMar>
            <w:vAlign w:val="center"/>
          </w:tcPr>
          <w:p>
            <w:pPr>
              <w:pStyle w:val="TableContents"/>
              <w:bidi w:val="0"/>
              <w:spacing w:before="120" w:after="283"/>
              <w:jc w:val="center"/>
              <w:rPr>
                <w:rFonts w:ascii="Montserrat Medium;sans-serif" w:hAnsi="Montserrat Medium;sans-serif"/>
                <w:sz w:val="18"/>
              </w:rPr>
            </w:pPr>
            <w:r>
              <w:rPr>
                <w:rFonts w:ascii="Montserrat;Montserrat Medium;sans-serif" w:hAnsi="Montserrat;Montserrat Medium;sans-serif"/>
                <w:b/>
                <w:color w:val="000000"/>
                <w:sz w:val="18"/>
              </w:rPr>
              <w:t>Non-GAAP</w:t>
            </w:r>
            <w:r>
              <w:rPr>
                <w:rFonts w:ascii="Montserrat Medium;sans-serif" w:hAnsi="Montserrat Medium;sans-serif"/>
                <w:color w:val="000000"/>
                <w:sz w:val="18"/>
              </w:rPr>
              <w:t xml:space="preserve"> </w:t>
            </w:r>
          </w:p>
          <w:p>
            <w:pPr>
              <w:pStyle w:val="TableContents"/>
              <w:bidi w:val="0"/>
              <w:jc w:val="center"/>
              <w:rPr>
                <w:rFonts w:ascii="Montserrat Medium;sans-serif" w:hAnsi="Montserrat Medium;sans-serif"/>
                <w:sz w:val="18"/>
              </w:rPr>
            </w:pPr>
            <w:r>
              <w:rPr>
                <w:rFonts w:ascii="Montserrat;Montserrat Medium;sans-serif" w:hAnsi="Montserrat;Montserrat Medium;sans-serif"/>
                <w:b/>
                <w:color w:val="000000"/>
                <w:sz w:val="18"/>
              </w:rPr>
              <w:t>Operating</w:t>
            </w:r>
            <w:r>
              <w:rPr>
                <w:rFonts w:ascii="Montserrat Medium;sans-serif" w:hAnsi="Montserrat Medium;sans-serif"/>
                <w:color w:val="000000"/>
                <w:sz w:val="18"/>
              </w:rPr>
              <w:t xml:space="preserve"> </w:t>
            </w:r>
          </w:p>
          <w:p>
            <w:pPr>
              <w:pStyle w:val="TableContents"/>
              <w:bidi w:val="0"/>
              <w:jc w:val="center"/>
              <w:rPr>
                <w:rFonts w:ascii="Montserrat Medium;sans-serif" w:hAnsi="Montserrat Medium;sans-serif"/>
                <w:sz w:val="18"/>
              </w:rPr>
            </w:pPr>
            <w:r>
              <w:rPr>
                <w:rFonts w:ascii="Montserrat;Montserrat Medium;sans-serif" w:hAnsi="Montserrat;Montserrat Medium;sans-serif"/>
                <w:b/>
                <w:color w:val="000000"/>
                <w:sz w:val="18"/>
              </w:rPr>
              <w:t>Income</w:t>
            </w:r>
            <w:r>
              <w:rPr>
                <w:rFonts w:ascii="Montserrat Medium;sans-serif" w:hAnsi="Montserrat Medium;sans-serif"/>
                <w:color w:val="000000"/>
                <w:sz w:val="18"/>
              </w:rPr>
              <w:t xml:space="preserve"> </w:t>
            </w:r>
          </w:p>
          <w:p>
            <w:pPr>
              <w:pStyle w:val="TableContents"/>
              <w:bidi w:val="0"/>
              <w:spacing w:before="0" w:after="120"/>
              <w:jc w:val="center"/>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Achievement %</w:t>
            </w:r>
          </w:p>
          <w:p>
            <w:pPr>
              <w:pStyle w:val="TableContents"/>
              <w:bidi w:val="0"/>
              <w:spacing w:before="0" w:after="120"/>
              <w:jc w:val="center"/>
              <w:rPr/>
            </w:pPr>
            <w:r>
              <w:rPr/>
              <w:drawing>
                <wp:inline distT="0" distB="0" distL="0" distR="0">
                  <wp:extent cx="1133475" cy="809625"/>
                  <wp:effectExtent l="0" t="0" r="0" b="0"/>
                  <wp:docPr id="186"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75" descr=""/>
                          <pic:cNvPicPr>
                            <a:picLocks noChangeAspect="1" noChangeArrowheads="1"/>
                          </pic:cNvPicPr>
                        </pic:nvPicPr>
                        <pic:blipFill>
                          <a:blip r:embed="rId179"/>
                          <a:stretch>
                            <a:fillRect/>
                          </a:stretch>
                        </pic:blipFill>
                        <pic:spPr bwMode="auto">
                          <a:xfrm>
                            <a:off x="0" y="0"/>
                            <a:ext cx="1133475" cy="80962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41" w:type="dxa"/>
            <w:vMerge w:val="restart"/>
            <w:tcBorders/>
            <w:tcMar>
              <w:top w:w="0" w:type="dxa"/>
              <w:left w:w="0" w:type="dxa"/>
              <w:bottom w:w="0" w:type="dxa"/>
              <w:right w:w="0" w:type="dxa"/>
            </w:tcMar>
            <w:vAlign w:val="center"/>
          </w:tcPr>
          <w:p>
            <w:pPr>
              <w:pStyle w:val="TableContents"/>
              <w:bidi w:val="0"/>
              <w:spacing w:before="120" w:after="283"/>
              <w:jc w:val="center"/>
              <w:rPr>
                <w:rFonts w:ascii="Montserrat;Montserrat Medium;sans-serif" w:hAnsi="Montserrat;Montserrat Medium;sans-serif"/>
                <w:b/>
                <w:color w:val="7855FA"/>
                <w:sz w:val="52"/>
              </w:rPr>
            </w:pPr>
            <w:r>
              <w:rPr>
                <w:rFonts w:ascii="Montserrat;Montserrat Medium;sans-serif" w:hAnsi="Montserrat;Montserrat Medium;sans-serif"/>
                <w:b/>
                <w:color w:val="7855FA"/>
                <w:sz w:val="52"/>
              </w:rPr>
              <w:t>=</w:t>
            </w:r>
          </w:p>
        </w:tc>
        <w:tc>
          <w:tcPr>
            <w:tcW w:w="1726" w:type="dxa"/>
            <w:vMerge w:val="restart"/>
            <w:tcBorders/>
            <w:shd w:fill="A199FF" w:val="clear"/>
            <w:tcMar>
              <w:top w:w="0" w:type="dxa"/>
              <w:left w:w="0" w:type="dxa"/>
              <w:bottom w:w="0" w:type="dxa"/>
              <w:right w:w="0" w:type="dxa"/>
            </w:tcMar>
            <w:vAlign w:val="center"/>
          </w:tcPr>
          <w:p>
            <w:pPr>
              <w:pStyle w:val="TableContents"/>
              <w:bidi w:val="0"/>
              <w:jc w:val="center"/>
              <w:rPr>
                <w:rFonts w:ascii="Montserrat Medium;sans-serif" w:hAnsi="Montserrat Medium;sans-serif"/>
                <w:sz w:val="18"/>
              </w:rPr>
            </w:pPr>
            <w:r>
              <w:rPr>
                <w:rFonts w:ascii="Montserrat;Montserrat Medium;sans-serif" w:hAnsi="Montserrat;Montserrat Medium;sans-serif"/>
                <w:b/>
                <w:color w:val="000000"/>
                <w:sz w:val="18"/>
              </w:rPr>
              <w:t>Total Weighted</w:t>
            </w:r>
            <w:r>
              <w:rPr>
                <w:rFonts w:ascii="Montserrat Medium;sans-serif" w:hAnsi="Montserrat Medium;sans-serif"/>
                <w:color w:val="000000"/>
                <w:sz w:val="18"/>
              </w:rPr>
              <w:t xml:space="preserve"> </w:t>
            </w:r>
          </w:p>
          <w:p>
            <w:pPr>
              <w:pStyle w:val="TableContents"/>
              <w:bidi w:val="0"/>
              <w:spacing w:before="0" w:after="120"/>
              <w:jc w:val="center"/>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Achievement %</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vMerge w:val="restart"/>
            <w:tcBorders/>
            <w:tcMar>
              <w:top w:w="0" w:type="dxa"/>
              <w:left w:w="0" w:type="dxa"/>
              <w:bottom w:w="0" w:type="dxa"/>
              <w:right w:w="0" w:type="dxa"/>
            </w:tcMar>
            <w:vAlign w:val="center"/>
          </w:tcPr>
          <w:p>
            <w:pPr>
              <w:pStyle w:val="TableContents"/>
              <w:bidi w:val="0"/>
              <w:spacing w:before="12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1886" w:type="dxa"/>
            <w:vMerge w:val="continue"/>
            <w:tcBorders/>
            <w:shd w:fill="F0F0F0" w:val="clear"/>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41" w:type="dxa"/>
            <w:vMerge w:val="continue"/>
            <w:tcBorders/>
            <w:tcMar>
              <w:top w:w="0" w:type="dxa"/>
              <w:left w:w="0" w:type="dxa"/>
              <w:bottom w:w="0" w:type="dxa"/>
              <w:right w:w="0" w:type="dxa"/>
            </w:tcMar>
            <w:vAlign w:val="center"/>
          </w:tcPr>
          <w:p>
            <w:pPr>
              <w:pStyle w:val="Normal"/>
              <w:bidi w:val="0"/>
              <w:jc w:val="left"/>
              <w:rPr/>
            </w:pPr>
            <w:r>
              <w:rPr/>
            </w:r>
          </w:p>
        </w:tc>
        <w:tc>
          <w:tcPr>
            <w:tcW w:w="1871" w:type="dxa"/>
            <w:vMerge w:val="continue"/>
            <w:tcBorders/>
            <w:shd w:fill="F0F0F0" w:val="clear"/>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41" w:type="dxa"/>
            <w:vMerge w:val="continue"/>
            <w:tcBorders/>
            <w:tcMar>
              <w:top w:w="0" w:type="dxa"/>
              <w:left w:w="0" w:type="dxa"/>
              <w:bottom w:w="0" w:type="dxa"/>
              <w:right w:w="0" w:type="dxa"/>
            </w:tcMar>
            <w:vAlign w:val="center"/>
          </w:tcPr>
          <w:p>
            <w:pPr>
              <w:pStyle w:val="Normal"/>
              <w:bidi w:val="0"/>
              <w:jc w:val="left"/>
              <w:rPr/>
            </w:pPr>
            <w:r>
              <w:rPr/>
            </w:r>
          </w:p>
        </w:tc>
        <w:tc>
          <w:tcPr>
            <w:tcW w:w="1726" w:type="dxa"/>
            <w:vMerge w:val="continue"/>
            <w:tcBorders/>
            <w:shd w:fill="A199FF" w:val="clear"/>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91"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1886" w:type="dxa"/>
            <w:vMerge w:val="continue"/>
            <w:tcBorders/>
            <w:shd w:fill="F0F0F0" w:val="clear"/>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41" w:type="dxa"/>
            <w:vMerge w:val="continue"/>
            <w:tcBorders/>
            <w:tcMar>
              <w:top w:w="0" w:type="dxa"/>
              <w:left w:w="0" w:type="dxa"/>
              <w:bottom w:w="0" w:type="dxa"/>
              <w:right w:w="0" w:type="dxa"/>
            </w:tcMar>
            <w:vAlign w:val="center"/>
          </w:tcPr>
          <w:p>
            <w:pPr>
              <w:pStyle w:val="Normal"/>
              <w:bidi w:val="0"/>
              <w:jc w:val="left"/>
              <w:rPr/>
            </w:pPr>
            <w:r>
              <w:rPr/>
            </w:r>
          </w:p>
        </w:tc>
        <w:tc>
          <w:tcPr>
            <w:tcW w:w="1871" w:type="dxa"/>
            <w:vMerge w:val="continue"/>
            <w:tcBorders/>
            <w:shd w:fill="F0F0F0" w:val="clear"/>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41" w:type="dxa"/>
            <w:vMerge w:val="continue"/>
            <w:tcBorders/>
            <w:tcMar>
              <w:top w:w="0" w:type="dxa"/>
              <w:left w:w="0" w:type="dxa"/>
              <w:bottom w:w="0" w:type="dxa"/>
              <w:right w:w="0" w:type="dxa"/>
            </w:tcMar>
            <w:vAlign w:val="center"/>
          </w:tcPr>
          <w:p>
            <w:pPr>
              <w:pStyle w:val="Normal"/>
              <w:bidi w:val="0"/>
              <w:jc w:val="left"/>
              <w:rPr/>
            </w:pPr>
            <w:r>
              <w:rPr/>
            </w:r>
          </w:p>
        </w:tc>
        <w:tc>
          <w:tcPr>
            <w:tcW w:w="1726" w:type="dxa"/>
            <w:vMerge w:val="continue"/>
            <w:tcBorders/>
            <w:shd w:fill="A199FF" w:val="clear"/>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91"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1886" w:type="dxa"/>
            <w:vMerge w:val="continue"/>
            <w:tcBorders/>
            <w:shd w:fill="F0F0F0" w:val="clear"/>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41" w:type="dxa"/>
            <w:vMerge w:val="continue"/>
            <w:tcBorders/>
            <w:tcMar>
              <w:top w:w="0" w:type="dxa"/>
              <w:left w:w="0" w:type="dxa"/>
              <w:bottom w:w="0" w:type="dxa"/>
              <w:right w:w="0" w:type="dxa"/>
            </w:tcMar>
            <w:vAlign w:val="center"/>
          </w:tcPr>
          <w:p>
            <w:pPr>
              <w:pStyle w:val="Normal"/>
              <w:bidi w:val="0"/>
              <w:jc w:val="left"/>
              <w:rPr/>
            </w:pPr>
            <w:r>
              <w:rPr/>
            </w:r>
          </w:p>
        </w:tc>
        <w:tc>
          <w:tcPr>
            <w:tcW w:w="1871" w:type="dxa"/>
            <w:vMerge w:val="continue"/>
            <w:tcBorders/>
            <w:shd w:fill="F0F0F0" w:val="clear"/>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41" w:type="dxa"/>
            <w:vMerge w:val="continue"/>
            <w:tcBorders/>
            <w:tcMar>
              <w:top w:w="0" w:type="dxa"/>
              <w:left w:w="0" w:type="dxa"/>
              <w:bottom w:w="0" w:type="dxa"/>
              <w:right w:w="0" w:type="dxa"/>
            </w:tcMar>
            <w:vAlign w:val="center"/>
          </w:tcPr>
          <w:p>
            <w:pPr>
              <w:pStyle w:val="Normal"/>
              <w:bidi w:val="0"/>
              <w:jc w:val="left"/>
              <w:rPr/>
            </w:pPr>
            <w:r>
              <w:rPr/>
            </w:r>
          </w:p>
        </w:tc>
        <w:tc>
          <w:tcPr>
            <w:tcW w:w="1726" w:type="dxa"/>
            <w:vMerge w:val="continue"/>
            <w:tcBorders/>
            <w:shd w:fill="A199FF" w:val="clear"/>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91"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188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4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871" w:type="dxa"/>
            <w:tcBorders>
              <w:bottom w:val="single" w:sz="4" w:space="0" w:color="7855FA"/>
            </w:tcBorders>
            <w:tcMar>
              <w:top w:w="0" w:type="dxa"/>
              <w:left w:w="0" w:type="dxa"/>
              <w:right w:w="0" w:type="dxa"/>
            </w:tcMar>
            <w:vAlign w:val="center"/>
          </w:tcPr>
          <w:p>
            <w:pPr>
              <w:pStyle w:val="TableContents"/>
              <w:bidi w:val="0"/>
              <w:spacing w:before="12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120" w:after="283"/>
              <w:jc w:val="left"/>
              <w:rPr/>
            </w:pPr>
            <w:r>
              <w:rPr/>
              <w:t> </w:t>
            </w:r>
          </w:p>
        </w:tc>
        <w:tc>
          <w:tcPr>
            <w:tcW w:w="54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1886" w:type="dxa"/>
            <w:vMerge w:val="restart"/>
            <w:tcBorders/>
            <w:shd w:fill="A199FF" w:val="clear"/>
            <w:tcMar>
              <w:top w:w="0" w:type="dxa"/>
              <w:left w:w="0" w:type="dxa"/>
              <w:bottom w:w="0" w:type="dxa"/>
              <w:right w:w="0" w:type="dxa"/>
            </w:tcMar>
            <w:vAlign w:val="center"/>
          </w:tcPr>
          <w:p>
            <w:pPr>
              <w:pStyle w:val="TableContents"/>
              <w:bidi w:val="0"/>
              <w:jc w:val="center"/>
              <w:rPr>
                <w:rFonts w:ascii="Montserrat Medium;sans-serif" w:hAnsi="Montserrat Medium;sans-serif"/>
                <w:sz w:val="18"/>
              </w:rPr>
            </w:pPr>
            <w:r>
              <w:rPr>
                <w:rFonts w:ascii="Montserrat;Montserrat Medium;sans-serif" w:hAnsi="Montserrat;Montserrat Medium;sans-serif"/>
                <w:b/>
                <w:color w:val="000000"/>
                <w:sz w:val="18"/>
              </w:rPr>
              <w:t>Total Weighted</w:t>
            </w:r>
            <w:r>
              <w:rPr>
                <w:rFonts w:ascii="Montserrat Medium;sans-serif" w:hAnsi="Montserrat Medium;sans-serif"/>
                <w:color w:val="000000"/>
                <w:sz w:val="18"/>
              </w:rPr>
              <w:t xml:space="preserve"> </w:t>
            </w:r>
          </w:p>
          <w:p>
            <w:pPr>
              <w:pStyle w:val="TableContents"/>
              <w:bidi w:val="0"/>
              <w:spacing w:before="0" w:after="120"/>
              <w:jc w:val="center"/>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Achievement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41" w:type="dxa"/>
            <w:vMerge w:val="restart"/>
            <w:tcBorders>
              <w:right w:val="single" w:sz="4" w:space="0" w:color="7855FA"/>
            </w:tcBorders>
            <w:tcMar>
              <w:top w:w="0" w:type="dxa"/>
              <w:left w:w="0" w:type="dxa"/>
              <w:bottom w:w="0" w:type="dxa"/>
            </w:tcMar>
            <w:vAlign w:val="center"/>
          </w:tcPr>
          <w:p>
            <w:pPr>
              <w:pStyle w:val="TableContents"/>
              <w:bidi w:val="0"/>
              <w:spacing w:before="240" w:after="283"/>
              <w:jc w:val="center"/>
              <w:rPr>
                <w:rFonts w:ascii="Montserrat;Montserrat Medium;sans-serif" w:hAnsi="Montserrat;Montserrat Medium;sans-serif"/>
                <w:b/>
                <w:color w:val="7855FA"/>
                <w:sz w:val="52"/>
              </w:rPr>
            </w:pPr>
            <w:r>
              <w:rPr>
                <w:rFonts w:ascii="Montserrat;Montserrat Medium;sans-serif" w:hAnsi="Montserrat;Montserrat Medium;sans-serif"/>
                <w:b/>
                <w:color w:val="7855FA"/>
                <w:sz w:val="52"/>
              </w:rPr>
              <w:t>x</w:t>
            </w:r>
          </w:p>
        </w:tc>
        <w:tc>
          <w:tcPr>
            <w:tcW w:w="1871" w:type="dxa"/>
            <w:vMerge w:val="restart"/>
            <w:tcBorders>
              <w:bottom w:val="single" w:sz="4" w:space="0" w:color="7855FA"/>
              <w:right w:val="single" w:sz="4" w:space="0" w:color="7855FA"/>
            </w:tcBorders>
            <w:shd w:fill="FFFFFF" w:val="clear"/>
            <w:tcMar>
              <w:top w:w="0" w:type="dxa"/>
              <w:left w:w="0" w:type="dxa"/>
            </w:tcMar>
            <w:vAlign w:val="center"/>
          </w:tcPr>
          <w:p>
            <w:pPr>
              <w:pStyle w:val="TableContents"/>
              <w:bidi w:val="0"/>
              <w:jc w:val="center"/>
              <w:rPr>
                <w:rFonts w:ascii="Montserrat Medium;sans-serif" w:hAnsi="Montserrat Medium;sans-serif"/>
                <w:sz w:val="18"/>
              </w:rPr>
            </w:pPr>
            <w:r>
              <w:rPr>
                <w:rFonts w:ascii="Montserrat;Montserrat Medium;sans-serif" w:hAnsi="Montserrat;Montserrat Medium;sans-serif"/>
                <w:b/>
                <w:color w:val="7855FA"/>
                <w:sz w:val="18"/>
              </w:rPr>
              <w:t>Annual</w:t>
            </w:r>
            <w:r>
              <w:rPr>
                <w:rFonts w:ascii="Montserrat Medium;sans-serif" w:hAnsi="Montserrat Medium;sans-serif"/>
                <w:color w:val="7855FA"/>
                <w:sz w:val="18"/>
              </w:rPr>
              <w:t xml:space="preserve"> </w:t>
            </w:r>
          </w:p>
          <w:p>
            <w:pPr>
              <w:pStyle w:val="TableContents"/>
              <w:bidi w:val="0"/>
              <w:jc w:val="center"/>
              <w:rPr>
                <w:rFonts w:ascii="Montserrat Medium;sans-serif" w:hAnsi="Montserrat Medium;sans-serif"/>
                <w:sz w:val="18"/>
              </w:rPr>
            </w:pPr>
            <w:r>
              <w:rPr>
                <w:rFonts w:ascii="Montserrat;Montserrat Medium;sans-serif" w:hAnsi="Montserrat;Montserrat Medium;sans-serif"/>
                <w:b/>
                <w:color w:val="7855FA"/>
                <w:sz w:val="18"/>
              </w:rPr>
              <w:t>Incentive</w:t>
            </w:r>
            <w:r>
              <w:rPr>
                <w:rFonts w:ascii="Montserrat Medium;sans-serif" w:hAnsi="Montserrat Medium;sans-serif"/>
                <w:color w:val="7855FA"/>
                <w:sz w:val="18"/>
              </w:rPr>
              <w:t xml:space="preserve"> </w:t>
            </w:r>
          </w:p>
          <w:p>
            <w:pPr>
              <w:pStyle w:val="TableContents"/>
              <w:bidi w:val="0"/>
              <w:spacing w:before="0" w:after="120"/>
              <w:jc w:val="center"/>
              <w:rPr>
                <w:rFonts w:ascii="Montserrat;Montserrat Medium;sans-serif" w:hAnsi="Montserrat;Montserrat Medium;sans-serif"/>
                <w:b/>
                <w:color w:val="7855FA"/>
                <w:sz w:val="18"/>
              </w:rPr>
            </w:pPr>
            <w:r>
              <w:rPr>
                <w:rFonts w:ascii="Montserrat;Montserrat Medium;sans-serif" w:hAnsi="Montserrat;Montserrat Medium;sans-serif"/>
                <w:b/>
                <w:color w:val="7855FA"/>
                <w:sz w:val="18"/>
              </w:rPr>
              <w:t>Opportunity</w:t>
            </w:r>
          </w:p>
        </w:tc>
        <w:tc>
          <w:tcPr>
            <w:tcW w:w="146" w:type="dxa"/>
            <w:tcBorders>
              <w:bottom w:val="single" w:sz="4" w:space="0" w:color="000000"/>
            </w:tcBorders>
            <w:tcMar>
              <w:top w:w="0" w:type="dxa"/>
              <w:left w:w="0" w:type="dxa"/>
              <w:right w:w="0" w:type="dxa"/>
            </w:tcMar>
            <w:vAlign w:val="center"/>
          </w:tcPr>
          <w:p>
            <w:pPr>
              <w:pStyle w:val="TableContents"/>
              <w:bidi w:val="0"/>
              <w:spacing w:before="120" w:after="283"/>
              <w:jc w:val="left"/>
              <w:rPr/>
            </w:pPr>
            <w:r>
              <w:rPr/>
              <w:t> </w:t>
            </w:r>
          </w:p>
        </w:tc>
        <w:tc>
          <w:tcPr>
            <w:tcW w:w="541" w:type="dxa"/>
            <w:vMerge w:val="restart"/>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120" w:after="283"/>
              <w:jc w:val="center"/>
              <w:rPr>
                <w:rFonts w:ascii="Montserrat;Montserrat Medium;sans-serif" w:hAnsi="Montserrat;Montserrat Medium;sans-serif"/>
                <w:b/>
                <w:color w:val="7855FA"/>
                <w:sz w:val="52"/>
              </w:rPr>
            </w:pPr>
            <w:r>
              <w:rPr>
                <w:rFonts w:ascii="Montserrat;Montserrat Medium;sans-serif" w:hAnsi="Montserrat;Montserrat Medium;sans-serif"/>
                <w:b/>
                <w:color w:val="7855FA"/>
                <w:sz w:val="52"/>
              </w:rPr>
              <w:t>=</w:t>
            </w:r>
          </w:p>
          <w:p>
            <w:pPr>
              <w:pStyle w:val="TableContents"/>
              <w:bidi w:val="0"/>
              <w:spacing w:before="120" w:after="283"/>
              <w:jc w:val="center"/>
              <w:rPr/>
            </w:pPr>
            <w:r>
              <w:rPr/>
              <w:t> </w:t>
            </w:r>
          </w:p>
        </w:tc>
        <w:tc>
          <w:tcPr>
            <w:tcW w:w="1726" w:type="dxa"/>
            <w:vMerge w:val="restart"/>
            <w:tcBorders/>
            <w:shd w:fill="7855FA" w:val="clear"/>
            <w:tcMar>
              <w:top w:w="0" w:type="dxa"/>
              <w:left w:w="0" w:type="dxa"/>
              <w:bottom w:w="0" w:type="dxa"/>
              <w:right w:w="0" w:type="dxa"/>
            </w:tcMar>
            <w:vAlign w:val="center"/>
          </w:tcPr>
          <w:p>
            <w:pPr>
              <w:pStyle w:val="TableContents"/>
              <w:bidi w:val="0"/>
              <w:jc w:val="center"/>
              <w:rPr>
                <w:rFonts w:ascii="Montserrat Medium;sans-serif" w:hAnsi="Montserrat Medium;sans-serif"/>
                <w:sz w:val="18"/>
              </w:rPr>
            </w:pPr>
            <w:r>
              <w:rPr>
                <w:rFonts w:ascii="Montserrat;Montserrat Medium;sans-serif" w:hAnsi="Montserrat;Montserrat Medium;sans-serif"/>
                <w:b/>
                <w:color w:val="FFFFFF"/>
                <w:sz w:val="18"/>
              </w:rPr>
              <w:t>Individual</w:t>
            </w:r>
            <w:r>
              <w:rPr>
                <w:rFonts w:ascii="Montserrat Medium;sans-serif" w:hAnsi="Montserrat Medium;sans-serif"/>
                <w:color w:val="FFFFFF"/>
                <w:sz w:val="18"/>
              </w:rPr>
              <w:t xml:space="preserve"> </w:t>
            </w:r>
          </w:p>
          <w:p>
            <w:pPr>
              <w:pStyle w:val="TableContents"/>
              <w:bidi w:val="0"/>
              <w:jc w:val="center"/>
              <w:rPr>
                <w:rFonts w:ascii="Montserrat;Montserrat Medium;sans-serif" w:hAnsi="Montserrat;Montserrat Medium;sans-serif"/>
                <w:b/>
                <w:color w:val="FFFFFF"/>
                <w:sz w:val="18"/>
              </w:rPr>
            </w:pPr>
            <w:r>
              <w:rPr>
                <w:rFonts w:ascii="Montserrat;Montserrat Medium;sans-serif" w:hAnsi="Montserrat;Montserrat Medium;sans-serif"/>
                <w:b/>
                <w:color w:val="FFFFFF"/>
                <w:sz w:val="18"/>
              </w:rPr>
              <w:t>Payout Amount</w:t>
            </w:r>
          </w:p>
          <w:p>
            <w:pPr>
              <w:pStyle w:val="TableContents"/>
              <w:bidi w:val="0"/>
              <w:jc w:val="center"/>
              <w:rPr>
                <w:rFonts w:ascii="Montserrat Medium;sans-serif" w:hAnsi="Montserrat Medium;sans-serif"/>
                <w:sz w:val="18"/>
              </w:rPr>
            </w:pPr>
            <w:r>
              <w:rPr>
                <w:rFonts w:ascii="Montserrat;Montserrat Medium;sans-serif" w:hAnsi="Montserrat;Montserrat Medium;sans-serif"/>
                <w:b/>
                <w:color w:val="FFFFFF"/>
                <w:sz w:val="18"/>
              </w:rPr>
              <w:t>(subject to</w:t>
            </w:r>
            <w:r>
              <w:rPr>
                <w:rFonts w:ascii="Montserrat Medium;sans-serif" w:hAnsi="Montserrat Medium;sans-serif"/>
                <w:color w:val="FFFFFF"/>
                <w:sz w:val="18"/>
              </w:rPr>
              <w:t xml:space="preserve"> </w:t>
            </w:r>
          </w:p>
          <w:p>
            <w:pPr>
              <w:pStyle w:val="TableContents"/>
              <w:bidi w:val="0"/>
              <w:jc w:val="center"/>
              <w:rPr>
                <w:rFonts w:ascii="Montserrat Medium;sans-serif" w:hAnsi="Montserrat Medium;sans-serif"/>
                <w:sz w:val="18"/>
              </w:rPr>
            </w:pPr>
            <w:r>
              <w:rPr>
                <w:rFonts w:ascii="Montserrat;Montserrat Medium;sans-serif" w:hAnsi="Montserrat;Montserrat Medium;sans-serif"/>
                <w:b/>
                <w:color w:val="FFFFFF"/>
                <w:sz w:val="18"/>
              </w:rPr>
              <w:t>adjustment</w:t>
            </w:r>
            <w:r>
              <w:rPr>
                <w:rFonts w:ascii="Montserrat Medium;sans-serif" w:hAnsi="Montserrat Medium;sans-serif"/>
                <w:color w:val="FFFFFF"/>
                <w:sz w:val="18"/>
              </w:rPr>
              <w:t xml:space="preserve"> </w:t>
            </w:r>
          </w:p>
          <w:p>
            <w:pPr>
              <w:pStyle w:val="TableContents"/>
              <w:bidi w:val="0"/>
              <w:jc w:val="center"/>
              <w:rPr>
                <w:rFonts w:ascii="Montserrat Medium;sans-serif" w:hAnsi="Montserrat Medium;sans-serif"/>
                <w:sz w:val="18"/>
              </w:rPr>
            </w:pPr>
            <w:r>
              <w:rPr>
                <w:rFonts w:ascii="Montserrat;Montserrat Medium;sans-serif" w:hAnsi="Montserrat;Montserrat Medium;sans-serif"/>
                <w:b/>
                <w:color w:val="FFFFFF"/>
                <w:sz w:val="18"/>
              </w:rPr>
              <w:t>based on</w:t>
            </w:r>
            <w:r>
              <w:rPr>
                <w:rFonts w:ascii="Montserrat Medium;sans-serif" w:hAnsi="Montserrat Medium;sans-serif"/>
                <w:color w:val="FFFFFF"/>
                <w:sz w:val="18"/>
              </w:rPr>
              <w:t xml:space="preserve"> </w:t>
            </w:r>
          </w:p>
          <w:p>
            <w:pPr>
              <w:pStyle w:val="TableContents"/>
              <w:bidi w:val="0"/>
              <w:jc w:val="center"/>
              <w:rPr>
                <w:rFonts w:ascii="Montserrat Medium;sans-serif" w:hAnsi="Montserrat Medium;sans-serif"/>
                <w:sz w:val="18"/>
              </w:rPr>
            </w:pPr>
            <w:r>
              <w:rPr>
                <w:rFonts w:ascii="Montserrat;Montserrat Medium;sans-serif" w:hAnsi="Montserrat;Montserrat Medium;sans-serif"/>
                <w:b/>
                <w:color w:val="FFFFFF"/>
                <w:sz w:val="18"/>
              </w:rPr>
              <w:t>personal</w:t>
            </w:r>
            <w:r>
              <w:rPr>
                <w:rFonts w:ascii="Montserrat Medium;sans-serif" w:hAnsi="Montserrat Medium;sans-serif"/>
                <w:color w:val="FFFFFF"/>
                <w:sz w:val="18"/>
              </w:rPr>
              <w:t xml:space="preserve"> </w:t>
            </w:r>
          </w:p>
          <w:p>
            <w:pPr>
              <w:pStyle w:val="TableContents"/>
              <w:bidi w:val="0"/>
              <w:spacing w:before="0" w:after="120"/>
              <w:jc w:val="center"/>
              <w:rPr>
                <w:rFonts w:ascii="Montserrat;Montserrat Medium;sans-serif" w:hAnsi="Montserrat;Montserrat Medium;sans-serif"/>
                <w:b/>
                <w:color w:val="FFFFFF"/>
                <w:sz w:val="18"/>
              </w:rPr>
            </w:pPr>
            <w:r>
              <w:rPr>
                <w:rFonts w:ascii="Montserrat;Montserrat Medium;sans-serif" w:hAnsi="Montserrat;Montserrat Medium;sans-serif"/>
                <w:b/>
                <w:color w:val="FFFFFF"/>
                <w:sz w:val="18"/>
              </w:rPr>
              <w:t>performance)</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1886" w:type="dxa"/>
            <w:vMerge w:val="continue"/>
            <w:tcBorders/>
            <w:shd w:fill="A199FF" w:val="clear"/>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41" w:type="dxa"/>
            <w:vMerge w:val="continue"/>
            <w:tcBorders>
              <w:right w:val="single" w:sz="4" w:space="0" w:color="7855FA"/>
            </w:tcBorders>
            <w:tcMar>
              <w:top w:w="0" w:type="dxa"/>
              <w:left w:w="0" w:type="dxa"/>
              <w:bottom w:w="0" w:type="dxa"/>
            </w:tcMar>
            <w:vAlign w:val="center"/>
          </w:tcPr>
          <w:p>
            <w:pPr>
              <w:pStyle w:val="Normal"/>
              <w:bidi w:val="0"/>
              <w:jc w:val="left"/>
              <w:rPr/>
            </w:pPr>
            <w:r>
              <w:rPr/>
            </w:r>
          </w:p>
        </w:tc>
        <w:tc>
          <w:tcPr>
            <w:tcW w:w="1871" w:type="dxa"/>
            <w:vMerge w:val="continue"/>
            <w:tcBorders>
              <w:bottom w:val="single" w:sz="4" w:space="0" w:color="7855FA"/>
              <w:right w:val="single" w:sz="4" w:space="0" w:color="7855FA"/>
            </w:tcBorders>
            <w:shd w:fill="FFFFFF" w:val="clear"/>
            <w:tcMar>
              <w:top w:w="0" w:type="dxa"/>
              <w:lef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120" w:after="283"/>
              <w:jc w:val="left"/>
              <w:rPr/>
            </w:pPr>
            <w:r>
              <w:rPr/>
              <w:t> </w:t>
            </w:r>
          </w:p>
        </w:tc>
        <w:tc>
          <w:tcPr>
            <w:tcW w:w="541" w:type="dxa"/>
            <w:vMerge w:val="continue"/>
            <w:tcBorders/>
            <w:tcMar>
              <w:top w:w="0" w:type="dxa"/>
              <w:left w:w="0" w:type="dxa"/>
              <w:bottom w:w="0" w:type="dxa"/>
              <w:right w:w="0" w:type="dxa"/>
            </w:tcMar>
            <w:vAlign w:val="center"/>
          </w:tcPr>
          <w:p>
            <w:pPr>
              <w:pStyle w:val="Normal"/>
              <w:bidi w:val="0"/>
              <w:jc w:val="left"/>
              <w:rPr/>
            </w:pPr>
            <w:r>
              <w:rPr/>
            </w:r>
          </w:p>
        </w:tc>
        <w:tc>
          <w:tcPr>
            <w:tcW w:w="1726" w:type="dxa"/>
            <w:vMerge w:val="continue"/>
            <w:tcBorders/>
            <w:shd w:fill="7855FA" w:val="clear"/>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1886" w:type="dxa"/>
            <w:vMerge w:val="continue"/>
            <w:tcBorders/>
            <w:shd w:fill="A199FF" w:val="clear"/>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41" w:type="dxa"/>
            <w:vMerge w:val="continue"/>
            <w:tcBorders>
              <w:right w:val="single" w:sz="4" w:space="0" w:color="7855FA"/>
            </w:tcBorders>
            <w:tcMar>
              <w:top w:w="0" w:type="dxa"/>
              <w:left w:w="0" w:type="dxa"/>
              <w:bottom w:w="0" w:type="dxa"/>
            </w:tcMar>
            <w:vAlign w:val="center"/>
          </w:tcPr>
          <w:p>
            <w:pPr>
              <w:pStyle w:val="Normal"/>
              <w:bidi w:val="0"/>
              <w:jc w:val="left"/>
              <w:rPr/>
            </w:pPr>
            <w:r>
              <w:rPr/>
            </w:r>
          </w:p>
        </w:tc>
        <w:tc>
          <w:tcPr>
            <w:tcW w:w="1871" w:type="dxa"/>
            <w:vMerge w:val="continue"/>
            <w:tcBorders>
              <w:bottom w:val="single" w:sz="4" w:space="0" w:color="7855FA"/>
              <w:right w:val="single" w:sz="4" w:space="0" w:color="7855FA"/>
            </w:tcBorders>
            <w:shd w:fill="FFFFFF" w:val="clear"/>
            <w:tcMar>
              <w:top w:w="0" w:type="dxa"/>
              <w:lef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120" w:after="283"/>
              <w:jc w:val="left"/>
              <w:rPr/>
            </w:pPr>
            <w:r>
              <w:rPr/>
              <w:t> </w:t>
            </w:r>
          </w:p>
        </w:tc>
        <w:tc>
          <w:tcPr>
            <w:tcW w:w="541" w:type="dxa"/>
            <w:vMerge w:val="continue"/>
            <w:tcBorders/>
            <w:tcMar>
              <w:top w:w="0" w:type="dxa"/>
              <w:left w:w="0" w:type="dxa"/>
              <w:bottom w:w="0" w:type="dxa"/>
              <w:right w:w="0" w:type="dxa"/>
            </w:tcMar>
            <w:vAlign w:val="center"/>
          </w:tcPr>
          <w:p>
            <w:pPr>
              <w:pStyle w:val="Normal"/>
              <w:bidi w:val="0"/>
              <w:jc w:val="left"/>
              <w:rPr/>
            </w:pPr>
            <w:r>
              <w:rPr/>
            </w:r>
          </w:p>
        </w:tc>
        <w:tc>
          <w:tcPr>
            <w:tcW w:w="1726" w:type="dxa"/>
            <w:vMerge w:val="continue"/>
            <w:tcBorders/>
            <w:shd w:fill="7855FA" w:val="clear"/>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1886" w:type="dxa"/>
            <w:vMerge w:val="continue"/>
            <w:tcBorders/>
            <w:shd w:fill="A199FF" w:val="clear"/>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41" w:type="dxa"/>
            <w:vMerge w:val="continue"/>
            <w:tcBorders>
              <w:right w:val="single" w:sz="4" w:space="0" w:color="7855FA"/>
            </w:tcBorders>
            <w:tcMar>
              <w:top w:w="0" w:type="dxa"/>
              <w:left w:w="0" w:type="dxa"/>
              <w:bottom w:w="0" w:type="dxa"/>
            </w:tcMar>
            <w:vAlign w:val="center"/>
          </w:tcPr>
          <w:p>
            <w:pPr>
              <w:pStyle w:val="Normal"/>
              <w:bidi w:val="0"/>
              <w:jc w:val="left"/>
              <w:rPr/>
            </w:pPr>
            <w:r>
              <w:rPr/>
            </w:r>
          </w:p>
        </w:tc>
        <w:tc>
          <w:tcPr>
            <w:tcW w:w="1871" w:type="dxa"/>
            <w:vMerge w:val="continue"/>
            <w:tcBorders>
              <w:bottom w:val="single" w:sz="4" w:space="0" w:color="7855FA"/>
              <w:right w:val="single" w:sz="4" w:space="0" w:color="7855FA"/>
            </w:tcBorders>
            <w:shd w:fill="FFFFFF" w:val="clear"/>
            <w:tcMar>
              <w:top w:w="0" w:type="dxa"/>
              <w:lef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120" w:after="283"/>
              <w:jc w:val="left"/>
              <w:rPr/>
            </w:pPr>
            <w:r>
              <w:rPr/>
              <w:t> </w:t>
            </w:r>
          </w:p>
        </w:tc>
        <w:tc>
          <w:tcPr>
            <w:tcW w:w="541" w:type="dxa"/>
            <w:vMerge w:val="continue"/>
            <w:tcBorders/>
            <w:tcMar>
              <w:top w:w="0" w:type="dxa"/>
              <w:left w:w="0" w:type="dxa"/>
              <w:bottom w:w="0" w:type="dxa"/>
              <w:right w:w="0" w:type="dxa"/>
            </w:tcMar>
            <w:vAlign w:val="center"/>
          </w:tcPr>
          <w:p>
            <w:pPr>
              <w:pStyle w:val="Normal"/>
              <w:bidi w:val="0"/>
              <w:jc w:val="left"/>
              <w:rPr/>
            </w:pPr>
            <w:r>
              <w:rPr/>
            </w:r>
          </w:p>
        </w:tc>
        <w:tc>
          <w:tcPr>
            <w:tcW w:w="1726" w:type="dxa"/>
            <w:vMerge w:val="continue"/>
            <w:tcBorders/>
            <w:shd w:fill="7855FA" w:val="clear"/>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1886" w:type="dxa"/>
            <w:vMerge w:val="continue"/>
            <w:tcBorders/>
            <w:shd w:fill="A199FF" w:val="clear"/>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41" w:type="dxa"/>
            <w:vMerge w:val="continue"/>
            <w:tcBorders>
              <w:right w:val="single" w:sz="4" w:space="0" w:color="7855FA"/>
            </w:tcBorders>
            <w:tcMar>
              <w:top w:w="0" w:type="dxa"/>
              <w:left w:w="0" w:type="dxa"/>
              <w:bottom w:w="0" w:type="dxa"/>
            </w:tcMar>
            <w:vAlign w:val="center"/>
          </w:tcPr>
          <w:p>
            <w:pPr>
              <w:pStyle w:val="Normal"/>
              <w:bidi w:val="0"/>
              <w:jc w:val="left"/>
              <w:rPr/>
            </w:pPr>
            <w:r>
              <w:rPr/>
            </w:r>
          </w:p>
        </w:tc>
        <w:tc>
          <w:tcPr>
            <w:tcW w:w="1871" w:type="dxa"/>
            <w:vMerge w:val="continue"/>
            <w:tcBorders>
              <w:bottom w:val="single" w:sz="4" w:space="0" w:color="7855FA"/>
              <w:right w:val="single" w:sz="4" w:space="0" w:color="7855FA"/>
            </w:tcBorders>
            <w:shd w:fill="FFFFFF" w:val="clear"/>
            <w:tcMar>
              <w:top w:w="0" w:type="dxa"/>
              <w:lef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120" w:after="283"/>
              <w:jc w:val="left"/>
              <w:rPr/>
            </w:pPr>
            <w:r>
              <w:rPr/>
              <w:t> </w:t>
            </w:r>
          </w:p>
        </w:tc>
        <w:tc>
          <w:tcPr>
            <w:tcW w:w="541" w:type="dxa"/>
            <w:vMerge w:val="continue"/>
            <w:tcBorders/>
            <w:tcMar>
              <w:top w:w="0" w:type="dxa"/>
              <w:left w:w="0" w:type="dxa"/>
              <w:bottom w:w="0" w:type="dxa"/>
              <w:right w:w="0" w:type="dxa"/>
            </w:tcMar>
            <w:vAlign w:val="center"/>
          </w:tcPr>
          <w:p>
            <w:pPr>
              <w:pStyle w:val="Normal"/>
              <w:bidi w:val="0"/>
              <w:jc w:val="left"/>
              <w:rPr/>
            </w:pPr>
            <w:r>
              <w:rPr/>
            </w:r>
          </w:p>
        </w:tc>
        <w:tc>
          <w:tcPr>
            <w:tcW w:w="1726" w:type="dxa"/>
            <w:vMerge w:val="continue"/>
            <w:tcBorders/>
            <w:shd w:fill="7855FA" w:val="clear"/>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91" w:type="dxa"/>
            <w:tcBorders/>
            <w:tcMar>
              <w:top w:w="0" w:type="dxa"/>
              <w:left w:w="0" w:type="dxa"/>
              <w:bottom w:w="0" w:type="dxa"/>
              <w:right w:w="0" w:type="dxa"/>
            </w:tcMar>
            <w:vAlign w:val="center"/>
          </w:tcPr>
          <w:p>
            <w:pPr>
              <w:pStyle w:val="TableContents"/>
              <w:bidi w:val="0"/>
              <w:spacing w:before="120" w:after="283"/>
              <w:jc w:val="left"/>
              <w:rPr/>
            </w:pPr>
            <w:r>
              <w:rPr/>
              <w:t> </w:t>
            </w:r>
          </w:p>
        </w:tc>
      </w:tr>
    </w:tbl>
    <w:p>
      <w:pPr>
        <w:pStyle w:val="TextBody"/>
        <w:bidi w:val="0"/>
        <w:jc w:val="both"/>
        <w:rPr/>
      </w:pPr>
      <w:r>
        <w:rPr/>
        <w:t> </w:t>
      </w:r>
    </w:p>
    <w:p>
      <w:pPr>
        <w:pStyle w:val="TextBody"/>
        <w:bidi w:val="0"/>
        <w:jc w:val="both"/>
        <w:rPr>
          <w:rFonts w:ascii="Montserrat;sans-serif" w:hAnsi="Montserrat;sans-serif"/>
          <w:color w:val="000000"/>
          <w:sz w:val="18"/>
        </w:rPr>
      </w:pPr>
      <w:r>
        <w:rPr>
          <w:rFonts w:ascii="Montserrat;sans-serif" w:hAnsi="Montserrat;sans-serif"/>
          <w:color w:val="000000"/>
          <w:sz w:val="18"/>
        </w:rPr>
        <w:t>The following table describes the relative weighting of each performance metric and the payout percentages used to calculate payouts under the fiscal year 2026 Executive Incentive Compensation Plan based on achievement of the targets at and between the low end of the target range and the high end of the target range.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900"/>
        <w:gridCol w:w="160"/>
        <w:gridCol w:w="1301"/>
        <w:gridCol w:w="160"/>
        <w:gridCol w:w="3158"/>
        <w:gridCol w:w="160"/>
        <w:gridCol w:w="2366"/>
      </w:tblGrid>
      <w:tr>
        <w:trPr/>
        <w:tc>
          <w:tcPr>
            <w:tcW w:w="290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ind w:left="0" w:right="0" w:firstLine="14"/>
              <w:jc w:val="left"/>
              <w:rPr>
                <w:sz w:val="4"/>
                <w:szCs w:val="4"/>
              </w:rPr>
            </w:pPr>
            <w:r>
              <w:rPr>
                <w:sz w:val="4"/>
                <w:szCs w:val="4"/>
              </w:rPr>
            </w:r>
          </w:p>
        </w:tc>
      </w:tr>
      <w:tr>
        <w:trPr/>
        <w:tc>
          <w:tcPr>
            <w:tcW w:w="2900" w:type="dxa"/>
            <w:tcBorders>
              <w:bottom w:val="single" w:sz="4" w:space="0" w:color="7855FA"/>
            </w:tcBorders>
            <w:tcMar>
              <w:top w:w="0" w:type="dxa"/>
              <w:left w:w="0" w:type="dxa"/>
              <w:right w:w="0" w:type="dxa"/>
            </w:tcMar>
            <w:vAlign w:val="center"/>
          </w:tcPr>
          <w:p>
            <w:pPr>
              <w:pStyle w:val="TableContents"/>
              <w:bidi w:val="0"/>
              <w:spacing w:before="0" w:after="40"/>
              <w:ind w:left="14" w:right="0" w:firstLine="14"/>
              <w:jc w:val="left"/>
              <w:rPr>
                <w:rFonts w:ascii="Montserrat;sans-serif" w:hAnsi="Montserrat;sans-serif"/>
                <w:b/>
                <w:color w:val="7855FA"/>
                <w:sz w:val="18"/>
              </w:rPr>
            </w:pPr>
            <w:r>
              <w:rPr>
                <w:rFonts w:ascii="Montserrat;sans-serif" w:hAnsi="Montserrat;sans-serif"/>
                <w:b/>
                <w:color w:val="7855FA"/>
                <w:sz w:val="18"/>
              </w:rPr>
              <w:t>Performance Metric</w:t>
            </w:r>
          </w:p>
        </w:tc>
        <w:tc>
          <w:tcPr>
            <w:tcW w:w="160" w:type="dxa"/>
            <w:tcBorders>
              <w:bottom w:val="single" w:sz="4" w:space="0" w:color="7855FA"/>
            </w:tcBorders>
            <w:tcMar>
              <w:top w:w="0" w:type="dxa"/>
              <w:left w:w="0" w:type="dxa"/>
              <w:right w:w="0" w:type="dxa"/>
            </w:tcMar>
            <w:vAlign w:val="center"/>
          </w:tcPr>
          <w:p>
            <w:pPr>
              <w:pStyle w:val="TableContents"/>
              <w:bidi w:val="0"/>
              <w:spacing w:before="0" w:after="283"/>
              <w:ind w:left="0" w:right="0" w:firstLine="14"/>
              <w:jc w:val="left"/>
              <w:rPr/>
            </w:pPr>
            <w:r>
              <w:rPr/>
              <w:t> </w:t>
            </w:r>
          </w:p>
        </w:tc>
        <w:tc>
          <w:tcPr>
            <w:tcW w:w="1301" w:type="dxa"/>
            <w:tcBorders>
              <w:bottom w:val="single" w:sz="4" w:space="0" w:color="7855FA"/>
            </w:tcBorders>
            <w:tcMar>
              <w:top w:w="0" w:type="dxa"/>
              <w:left w:w="0" w:type="dxa"/>
              <w:right w:w="0" w:type="dxa"/>
            </w:tcMar>
            <w:vAlign w:val="center"/>
          </w:tcPr>
          <w:p>
            <w:pPr>
              <w:pStyle w:val="TableContents"/>
              <w:bidi w:val="0"/>
              <w:spacing w:before="0" w:after="40"/>
              <w:ind w:left="14" w:right="0" w:firstLine="14"/>
              <w:jc w:val="center"/>
              <w:rPr>
                <w:rFonts w:ascii="Montserrat;sans-serif" w:hAnsi="Montserrat;sans-serif"/>
                <w:b/>
                <w:color w:val="7855FA"/>
                <w:sz w:val="18"/>
              </w:rPr>
            </w:pPr>
            <w:r>
              <w:rPr>
                <w:rFonts w:ascii="Montserrat;sans-serif" w:hAnsi="Montserrat;sans-serif"/>
                <w:b/>
                <w:color w:val="7855FA"/>
                <w:sz w:val="18"/>
              </w:rPr>
              <w:t>Weighting</w:t>
            </w:r>
          </w:p>
        </w:tc>
        <w:tc>
          <w:tcPr>
            <w:tcW w:w="160" w:type="dxa"/>
            <w:tcBorders>
              <w:bottom w:val="single" w:sz="4" w:space="0" w:color="7855FA"/>
            </w:tcBorders>
            <w:tcMar>
              <w:top w:w="0" w:type="dxa"/>
              <w:left w:w="0" w:type="dxa"/>
              <w:right w:w="0" w:type="dxa"/>
            </w:tcMar>
            <w:vAlign w:val="center"/>
          </w:tcPr>
          <w:p>
            <w:pPr>
              <w:pStyle w:val="TableContents"/>
              <w:bidi w:val="0"/>
              <w:spacing w:before="0" w:after="283"/>
              <w:ind w:left="0" w:right="0" w:firstLine="14"/>
              <w:jc w:val="left"/>
              <w:rPr/>
            </w:pPr>
            <w:r>
              <w:rPr/>
              <w:t> </w:t>
            </w:r>
          </w:p>
        </w:tc>
        <w:tc>
          <w:tcPr>
            <w:tcW w:w="3158" w:type="dxa"/>
            <w:tcBorders>
              <w:bottom w:val="single" w:sz="4" w:space="0" w:color="7855FA"/>
            </w:tcBorders>
            <w:tcMar>
              <w:top w:w="0" w:type="dxa"/>
              <w:left w:w="0" w:type="dxa"/>
              <w:right w:w="0" w:type="dxa"/>
            </w:tcMar>
            <w:vAlign w:val="center"/>
          </w:tcPr>
          <w:p>
            <w:pPr>
              <w:pStyle w:val="TableContents"/>
              <w:bidi w:val="0"/>
              <w:spacing w:before="0" w:after="40"/>
              <w:ind w:left="14" w:right="0" w:firstLine="14"/>
              <w:jc w:val="left"/>
              <w:rPr>
                <w:rFonts w:ascii="Montserrat;sans-serif" w:hAnsi="Montserrat;sans-serif"/>
                <w:b/>
                <w:color w:val="7855FA"/>
                <w:sz w:val="18"/>
              </w:rPr>
            </w:pPr>
            <w:r>
              <w:rPr>
                <w:rFonts w:ascii="Montserrat;sans-serif" w:hAnsi="Montserrat;sans-serif"/>
                <w:b/>
                <w:color w:val="7855FA"/>
                <w:sz w:val="18"/>
              </w:rPr>
              <w:t>Plan Achievement</w:t>
            </w:r>
          </w:p>
        </w:tc>
        <w:tc>
          <w:tcPr>
            <w:tcW w:w="160" w:type="dxa"/>
            <w:tcBorders>
              <w:bottom w:val="single" w:sz="4" w:space="0" w:color="7855FA"/>
            </w:tcBorders>
            <w:tcMar>
              <w:top w:w="0" w:type="dxa"/>
              <w:left w:w="0" w:type="dxa"/>
              <w:right w:w="0" w:type="dxa"/>
            </w:tcMar>
            <w:vAlign w:val="center"/>
          </w:tcPr>
          <w:p>
            <w:pPr>
              <w:pStyle w:val="TableContents"/>
              <w:bidi w:val="0"/>
              <w:spacing w:before="0" w:after="283"/>
              <w:ind w:left="0" w:right="0" w:firstLine="14"/>
              <w:jc w:val="left"/>
              <w:rPr/>
            </w:pPr>
            <w:r>
              <w:rPr/>
              <w:t> </w:t>
            </w:r>
          </w:p>
        </w:tc>
        <w:tc>
          <w:tcPr>
            <w:tcW w:w="2366" w:type="dxa"/>
            <w:tcBorders>
              <w:bottom w:val="single" w:sz="4" w:space="0" w:color="7855FA"/>
            </w:tcBorders>
            <w:tcMar>
              <w:top w:w="0" w:type="dxa"/>
              <w:left w:w="0" w:type="dxa"/>
              <w:right w:w="0" w:type="dxa"/>
            </w:tcMar>
            <w:vAlign w:val="center"/>
          </w:tcPr>
          <w:p>
            <w:pPr>
              <w:pStyle w:val="TableContents"/>
              <w:bidi w:val="0"/>
              <w:spacing w:before="0" w:after="40"/>
              <w:ind w:left="0" w:right="0" w:firstLine="14"/>
              <w:jc w:val="left"/>
              <w:rPr>
                <w:rFonts w:ascii="Montserrat;sans-serif" w:hAnsi="Montserrat;sans-serif"/>
                <w:b/>
                <w:color w:val="7855FA"/>
                <w:sz w:val="18"/>
              </w:rPr>
            </w:pPr>
            <w:r>
              <w:rPr>
                <w:rFonts w:ascii="Montserrat;sans-serif" w:hAnsi="Montserrat;sans-serif"/>
                <w:b/>
                <w:color w:val="7855FA"/>
                <w:sz w:val="18"/>
              </w:rPr>
              <w:t>Payout %</w:t>
            </w:r>
          </w:p>
        </w:tc>
      </w:tr>
      <w:tr>
        <w:trPr/>
        <w:tc>
          <w:tcPr>
            <w:tcW w:w="2900" w:type="dxa"/>
            <w:vMerge w:val="restart"/>
            <w:tcBorders>
              <w:bottom w:val="single" w:sz="4" w:space="0" w:color="000000"/>
            </w:tcBorders>
            <w:tcMar>
              <w:top w:w="0" w:type="dxa"/>
              <w:left w:w="0" w:type="dxa"/>
              <w:bottom w:w="40" w:type="dxa"/>
              <w:right w:w="0" w:type="dxa"/>
            </w:tcMar>
            <w:vAlign w:val="center"/>
          </w:tcPr>
          <w:p>
            <w:pPr>
              <w:pStyle w:val="TableContents"/>
              <w:bidi w:val="0"/>
              <w:spacing w:before="120" w:after="283"/>
              <w:ind w:left="14" w:right="0" w:firstLine="14"/>
              <w:jc w:val="left"/>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ARR</w:t>
            </w:r>
          </w:p>
        </w:tc>
        <w:tc>
          <w:tcPr>
            <w:tcW w:w="160" w:type="dxa"/>
            <w:vMerge w:val="restart"/>
            <w:tcBorders>
              <w:bottom w:val="single" w:sz="4" w:space="0" w:color="000000"/>
            </w:tcBorders>
            <w:tcMar>
              <w:top w:w="0" w:type="dxa"/>
              <w:left w:w="0" w:type="dxa"/>
              <w:bottom w:w="40" w:type="dxa"/>
              <w:right w:w="0" w:type="dxa"/>
            </w:tcMar>
            <w:vAlign w:val="center"/>
          </w:tcPr>
          <w:p>
            <w:pPr>
              <w:pStyle w:val="TableContents"/>
              <w:bidi w:val="0"/>
              <w:spacing w:before="120" w:after="283"/>
              <w:jc w:val="center"/>
              <w:rPr/>
            </w:pPr>
            <w:r>
              <w:rPr/>
              <w:t> </w:t>
            </w:r>
          </w:p>
        </w:tc>
        <w:tc>
          <w:tcPr>
            <w:tcW w:w="1301" w:type="dxa"/>
            <w:vMerge w:val="restart"/>
            <w:tcBorders>
              <w:bottom w:val="single" w:sz="4" w:space="0" w:color="000000"/>
            </w:tcBorders>
            <w:tcMar>
              <w:top w:w="0" w:type="dxa"/>
              <w:left w:w="0" w:type="dxa"/>
              <w:bottom w:w="40" w:type="dxa"/>
              <w:right w:w="0" w:type="dxa"/>
            </w:tcMar>
            <w:vAlign w:val="center"/>
          </w:tcPr>
          <w:p>
            <w:pPr>
              <w:pStyle w:val="TableContents"/>
              <w:bidi w:val="0"/>
              <w:spacing w:before="120" w:after="283"/>
              <w:jc w:val="center"/>
              <w:rPr/>
            </w:pPr>
            <w:r>
              <w:rPr/>
              <w:drawing>
                <wp:inline distT="0" distB="0" distL="0" distR="0">
                  <wp:extent cx="771525" cy="552450"/>
                  <wp:effectExtent l="0" t="0" r="0" b="0"/>
                  <wp:docPr id="187"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76" descr=""/>
                          <pic:cNvPicPr>
                            <a:picLocks noChangeAspect="1" noChangeArrowheads="1"/>
                          </pic:cNvPicPr>
                        </pic:nvPicPr>
                        <pic:blipFill>
                          <a:blip r:embed="rId180"/>
                          <a:stretch>
                            <a:fillRect/>
                          </a:stretch>
                        </pic:blipFill>
                        <pic:spPr bwMode="auto">
                          <a:xfrm>
                            <a:off x="0" y="0"/>
                            <a:ext cx="771525" cy="552450"/>
                          </a:xfrm>
                          <a:prstGeom prst="rect">
                            <a:avLst/>
                          </a:prstGeom>
                        </pic:spPr>
                      </pic:pic>
                    </a:graphicData>
                  </a:graphic>
                </wp:inline>
              </w:drawing>
            </w:r>
          </w:p>
        </w:tc>
        <w:tc>
          <w:tcPr>
            <w:tcW w:w="160" w:type="dxa"/>
            <w:tcBorders>
              <w:bottom w:val="single" w:sz="4" w:space="0" w:color="000000"/>
            </w:tcBorders>
            <w:tcMar>
              <w:top w:w="0" w:type="dxa"/>
              <w:left w:w="0" w:type="dxa"/>
              <w:bottom w:w="40" w:type="dxa"/>
              <w:right w:w="0" w:type="dxa"/>
            </w:tcMar>
            <w:vAlign w:val="center"/>
          </w:tcPr>
          <w:p>
            <w:pPr>
              <w:pStyle w:val="TableContents"/>
              <w:bidi w:val="0"/>
              <w:spacing w:before="40" w:after="283"/>
              <w:ind w:left="0" w:right="0" w:firstLine="14"/>
              <w:jc w:val="left"/>
              <w:rPr/>
            </w:pPr>
            <w:r>
              <w:rPr/>
              <w:t> </w:t>
            </w:r>
          </w:p>
        </w:tc>
        <w:tc>
          <w:tcPr>
            <w:tcW w:w="3158" w:type="dxa"/>
            <w:tcBorders>
              <w:bottom w:val="single" w:sz="4" w:space="0" w:color="000000"/>
            </w:tcBorders>
            <w:tcMar>
              <w:top w:w="0" w:type="dxa"/>
              <w:left w:w="0" w:type="dxa"/>
              <w:bottom w:w="40" w:type="dxa"/>
              <w:right w:w="0" w:type="dxa"/>
            </w:tcMar>
            <w:vAlign w:val="center"/>
          </w:tcPr>
          <w:p>
            <w:pPr>
              <w:pStyle w:val="TableContents"/>
              <w:bidi w:val="0"/>
              <w:spacing w:before="40" w:after="283"/>
              <w:ind w:left="14" w:right="0" w:firstLine="14"/>
              <w:jc w:val="left"/>
              <w:rPr>
                <w:rFonts w:ascii="Montserrat;sans-serif" w:hAnsi="Montserrat;sans-serif"/>
                <w:color w:val="000000"/>
                <w:sz w:val="18"/>
              </w:rPr>
            </w:pPr>
            <w:r>
              <w:rPr>
                <w:rFonts w:ascii="Montserrat;sans-serif" w:hAnsi="Montserrat;sans-serif"/>
                <w:color w:val="000000"/>
                <w:sz w:val="18"/>
              </w:rPr>
              <w:t>Less than 95% of Target</w:t>
            </w:r>
          </w:p>
        </w:tc>
        <w:tc>
          <w:tcPr>
            <w:tcW w:w="160" w:type="dxa"/>
            <w:tcBorders>
              <w:bottom w:val="single" w:sz="4" w:space="0" w:color="000000"/>
            </w:tcBorders>
            <w:tcMar>
              <w:top w:w="0" w:type="dxa"/>
              <w:left w:w="0" w:type="dxa"/>
              <w:bottom w:w="40" w:type="dxa"/>
              <w:right w:w="0" w:type="dxa"/>
            </w:tcMar>
            <w:vAlign w:val="center"/>
          </w:tcPr>
          <w:p>
            <w:pPr>
              <w:pStyle w:val="TableContents"/>
              <w:bidi w:val="0"/>
              <w:spacing w:before="40" w:after="283"/>
              <w:ind w:left="0" w:right="0" w:firstLine="14"/>
              <w:jc w:val="left"/>
              <w:rPr/>
            </w:pPr>
            <w:r>
              <w:rPr/>
              <w:t> </w:t>
            </w:r>
          </w:p>
        </w:tc>
        <w:tc>
          <w:tcPr>
            <w:tcW w:w="2366" w:type="dxa"/>
            <w:tcBorders>
              <w:bottom w:val="single" w:sz="4" w:space="0" w:color="000000"/>
            </w:tcBorders>
            <w:tcMar>
              <w:top w:w="0" w:type="dxa"/>
              <w:left w:w="0" w:type="dxa"/>
              <w:bottom w:w="40" w:type="dxa"/>
              <w:right w:w="0" w:type="dxa"/>
            </w:tcMar>
            <w:vAlign w:val="center"/>
          </w:tcPr>
          <w:p>
            <w:pPr>
              <w:pStyle w:val="TableContents"/>
              <w:bidi w:val="0"/>
              <w:spacing w:before="40" w:after="283"/>
              <w:ind w:left="14" w:right="0" w:firstLine="14"/>
              <w:jc w:val="left"/>
              <w:rPr>
                <w:rFonts w:ascii="Montserrat;sans-serif" w:hAnsi="Montserrat;sans-serif"/>
                <w:color w:val="000000"/>
                <w:sz w:val="18"/>
              </w:rPr>
            </w:pPr>
            <w:r>
              <w:rPr>
                <w:rFonts w:ascii="Montserrat;sans-serif" w:hAnsi="Montserrat;sans-serif"/>
                <w:color w:val="000000"/>
                <w:sz w:val="18"/>
              </w:rPr>
              <w:t>0%</w:t>
            </w:r>
          </w:p>
        </w:tc>
      </w:tr>
      <w:tr>
        <w:trPr/>
        <w:tc>
          <w:tcPr>
            <w:tcW w:w="2900" w:type="dxa"/>
            <w:vMerge w:val="continue"/>
            <w:tcBorders>
              <w:bottom w:val="single" w:sz="4" w:space="0" w:color="000000"/>
            </w:tcBorders>
            <w:tcMar>
              <w:top w:w="0" w:type="dxa"/>
              <w:left w:w="0" w:type="dxa"/>
              <w:bottom w:w="40" w:type="dxa"/>
              <w:right w:w="0" w:type="dxa"/>
            </w:tcMar>
            <w:vAlign w:val="center"/>
          </w:tcPr>
          <w:p>
            <w:pPr>
              <w:pStyle w:val="Normal"/>
              <w:bidi w:val="0"/>
              <w:jc w:val="left"/>
              <w:rPr/>
            </w:pPr>
            <w:r>
              <w:rPr/>
            </w:r>
          </w:p>
        </w:tc>
        <w:tc>
          <w:tcPr>
            <w:tcW w:w="160" w:type="dxa"/>
            <w:vMerge w:val="continue"/>
            <w:tcBorders>
              <w:bottom w:val="single" w:sz="4" w:space="0" w:color="000000"/>
            </w:tcBorders>
            <w:tcMar>
              <w:top w:w="0" w:type="dxa"/>
              <w:left w:w="0" w:type="dxa"/>
              <w:bottom w:w="40" w:type="dxa"/>
              <w:right w:w="0" w:type="dxa"/>
            </w:tcMar>
            <w:vAlign w:val="center"/>
          </w:tcPr>
          <w:p>
            <w:pPr>
              <w:pStyle w:val="Normal"/>
              <w:bidi w:val="0"/>
              <w:jc w:val="left"/>
              <w:rPr/>
            </w:pPr>
            <w:r>
              <w:rPr/>
            </w:r>
          </w:p>
        </w:tc>
        <w:tc>
          <w:tcPr>
            <w:tcW w:w="1301" w:type="dxa"/>
            <w:vMerge w:val="continue"/>
            <w:tcBorders>
              <w:bottom w:val="single" w:sz="4" w:space="0" w:color="000000"/>
            </w:tcBorders>
            <w:tcMar>
              <w:top w:w="0" w:type="dxa"/>
              <w:left w:w="0" w:type="dxa"/>
              <w:bottom w:w="40" w:type="dxa"/>
              <w:right w:w="0" w:type="dxa"/>
            </w:tcMar>
            <w:vAlign w:val="center"/>
          </w:tcPr>
          <w:p>
            <w:pPr>
              <w:pStyle w:val="Normal"/>
              <w:bidi w:val="0"/>
              <w:jc w:val="left"/>
              <w:rPr/>
            </w:pPr>
            <w:r>
              <w:rPr/>
            </w:r>
          </w:p>
        </w:tc>
        <w:tc>
          <w:tcPr>
            <w:tcW w:w="160" w:type="dxa"/>
            <w:tcBorders>
              <w:bottom w:val="single" w:sz="4" w:space="0" w:color="000000"/>
            </w:tcBorders>
            <w:tcMar>
              <w:top w:w="0" w:type="dxa"/>
              <w:left w:w="0" w:type="dxa"/>
              <w:bottom w:w="40" w:type="dxa"/>
              <w:right w:w="0" w:type="dxa"/>
            </w:tcMar>
            <w:vAlign w:val="center"/>
          </w:tcPr>
          <w:p>
            <w:pPr>
              <w:pStyle w:val="TableContents"/>
              <w:bidi w:val="0"/>
              <w:spacing w:before="40" w:after="283"/>
              <w:ind w:left="0" w:right="0" w:firstLine="14"/>
              <w:jc w:val="left"/>
              <w:rPr/>
            </w:pPr>
            <w:r>
              <w:rPr/>
              <w:t> </w:t>
            </w:r>
          </w:p>
        </w:tc>
        <w:tc>
          <w:tcPr>
            <w:tcW w:w="3158" w:type="dxa"/>
            <w:tcBorders>
              <w:bottom w:val="single" w:sz="4" w:space="0" w:color="000000"/>
            </w:tcBorders>
            <w:tcMar>
              <w:top w:w="0" w:type="dxa"/>
              <w:left w:w="0" w:type="dxa"/>
              <w:bottom w:w="40" w:type="dxa"/>
              <w:right w:w="0" w:type="dxa"/>
            </w:tcMar>
            <w:vAlign w:val="center"/>
          </w:tcPr>
          <w:p>
            <w:pPr>
              <w:pStyle w:val="TableContents"/>
              <w:bidi w:val="0"/>
              <w:spacing w:before="40" w:after="283"/>
              <w:ind w:left="14" w:right="0" w:firstLine="14"/>
              <w:jc w:val="left"/>
              <w:rPr>
                <w:rFonts w:ascii="Montserrat;sans-serif" w:hAnsi="Montserrat;sans-serif"/>
                <w:color w:val="000000"/>
                <w:sz w:val="18"/>
              </w:rPr>
            </w:pPr>
            <w:r>
              <w:rPr>
                <w:rFonts w:ascii="Montserrat;sans-serif" w:hAnsi="Montserrat;sans-serif"/>
                <w:color w:val="000000"/>
                <w:sz w:val="18"/>
              </w:rPr>
              <w:t>Between 95% and 100% of Target</w:t>
            </w:r>
          </w:p>
        </w:tc>
        <w:tc>
          <w:tcPr>
            <w:tcW w:w="160" w:type="dxa"/>
            <w:tcBorders>
              <w:bottom w:val="single" w:sz="4" w:space="0" w:color="000000"/>
            </w:tcBorders>
            <w:tcMar>
              <w:top w:w="0" w:type="dxa"/>
              <w:left w:w="0" w:type="dxa"/>
              <w:bottom w:w="40" w:type="dxa"/>
              <w:right w:w="0" w:type="dxa"/>
            </w:tcMar>
            <w:vAlign w:val="center"/>
          </w:tcPr>
          <w:p>
            <w:pPr>
              <w:pStyle w:val="TableContents"/>
              <w:bidi w:val="0"/>
              <w:spacing w:before="40" w:after="283"/>
              <w:ind w:left="0" w:right="0" w:firstLine="14"/>
              <w:jc w:val="left"/>
              <w:rPr/>
            </w:pPr>
            <w:r>
              <w:rPr/>
              <w:t> </w:t>
            </w:r>
          </w:p>
        </w:tc>
        <w:tc>
          <w:tcPr>
            <w:tcW w:w="2366" w:type="dxa"/>
            <w:tcBorders>
              <w:bottom w:val="single" w:sz="4" w:space="0" w:color="000000"/>
            </w:tcBorders>
            <w:tcMar>
              <w:top w:w="0" w:type="dxa"/>
              <w:left w:w="0" w:type="dxa"/>
              <w:bottom w:w="40" w:type="dxa"/>
              <w:right w:w="0" w:type="dxa"/>
            </w:tcMar>
            <w:vAlign w:val="center"/>
          </w:tcPr>
          <w:p>
            <w:pPr>
              <w:pStyle w:val="TableContents"/>
              <w:bidi w:val="0"/>
              <w:spacing w:before="40" w:after="283"/>
              <w:ind w:left="14" w:right="0" w:firstLine="14"/>
              <w:jc w:val="left"/>
              <w:rPr>
                <w:rFonts w:ascii="Montserrat;sans-serif" w:hAnsi="Montserrat;sans-serif"/>
                <w:color w:val="000000"/>
                <w:sz w:val="18"/>
              </w:rPr>
            </w:pPr>
            <w:r>
              <w:rPr>
                <w:rFonts w:ascii="Montserrat;sans-serif" w:hAnsi="Montserrat;sans-serif"/>
                <w:color w:val="000000"/>
                <w:sz w:val="18"/>
              </w:rPr>
              <w:t>Between 0% and 100%</w:t>
            </w:r>
          </w:p>
        </w:tc>
      </w:tr>
      <w:tr>
        <w:trPr/>
        <w:tc>
          <w:tcPr>
            <w:tcW w:w="2900" w:type="dxa"/>
            <w:vMerge w:val="continue"/>
            <w:tcBorders>
              <w:bottom w:val="single" w:sz="4" w:space="0" w:color="000000"/>
            </w:tcBorders>
            <w:tcMar>
              <w:top w:w="0" w:type="dxa"/>
              <w:left w:w="0" w:type="dxa"/>
              <w:bottom w:w="40" w:type="dxa"/>
              <w:right w:w="0" w:type="dxa"/>
            </w:tcMar>
            <w:vAlign w:val="center"/>
          </w:tcPr>
          <w:p>
            <w:pPr>
              <w:pStyle w:val="Normal"/>
              <w:bidi w:val="0"/>
              <w:jc w:val="left"/>
              <w:rPr/>
            </w:pPr>
            <w:r>
              <w:rPr/>
            </w:r>
          </w:p>
        </w:tc>
        <w:tc>
          <w:tcPr>
            <w:tcW w:w="160" w:type="dxa"/>
            <w:vMerge w:val="continue"/>
            <w:tcBorders>
              <w:bottom w:val="single" w:sz="4" w:space="0" w:color="000000"/>
            </w:tcBorders>
            <w:tcMar>
              <w:top w:w="0" w:type="dxa"/>
              <w:left w:w="0" w:type="dxa"/>
              <w:bottom w:w="40" w:type="dxa"/>
              <w:right w:w="0" w:type="dxa"/>
            </w:tcMar>
            <w:vAlign w:val="center"/>
          </w:tcPr>
          <w:p>
            <w:pPr>
              <w:pStyle w:val="Normal"/>
              <w:bidi w:val="0"/>
              <w:jc w:val="left"/>
              <w:rPr/>
            </w:pPr>
            <w:r>
              <w:rPr/>
            </w:r>
          </w:p>
        </w:tc>
        <w:tc>
          <w:tcPr>
            <w:tcW w:w="1301" w:type="dxa"/>
            <w:vMerge w:val="continue"/>
            <w:tcBorders>
              <w:bottom w:val="single" w:sz="4" w:space="0" w:color="000000"/>
            </w:tcBorders>
            <w:tcMar>
              <w:top w:w="0" w:type="dxa"/>
              <w:left w:w="0" w:type="dxa"/>
              <w:bottom w:w="40" w:type="dxa"/>
              <w:right w:w="0" w:type="dxa"/>
            </w:tcMar>
            <w:vAlign w:val="center"/>
          </w:tcPr>
          <w:p>
            <w:pPr>
              <w:pStyle w:val="Normal"/>
              <w:bidi w:val="0"/>
              <w:jc w:val="left"/>
              <w:rPr/>
            </w:pPr>
            <w:r>
              <w:rPr/>
            </w:r>
          </w:p>
        </w:tc>
        <w:tc>
          <w:tcPr>
            <w:tcW w:w="160" w:type="dxa"/>
            <w:tcBorders>
              <w:bottom w:val="single" w:sz="4" w:space="0" w:color="000000"/>
            </w:tcBorders>
            <w:tcMar>
              <w:top w:w="0" w:type="dxa"/>
              <w:left w:w="0" w:type="dxa"/>
              <w:bottom w:w="40" w:type="dxa"/>
              <w:right w:w="0" w:type="dxa"/>
            </w:tcMar>
            <w:vAlign w:val="center"/>
          </w:tcPr>
          <w:p>
            <w:pPr>
              <w:pStyle w:val="TableContents"/>
              <w:bidi w:val="0"/>
              <w:spacing w:before="40" w:after="283"/>
              <w:ind w:left="0" w:right="0" w:firstLine="14"/>
              <w:jc w:val="left"/>
              <w:rPr/>
            </w:pPr>
            <w:r>
              <w:rPr/>
              <w:t> </w:t>
            </w:r>
          </w:p>
        </w:tc>
        <w:tc>
          <w:tcPr>
            <w:tcW w:w="3158" w:type="dxa"/>
            <w:tcBorders>
              <w:bottom w:val="single" w:sz="4" w:space="0" w:color="000000"/>
            </w:tcBorders>
            <w:tcMar>
              <w:top w:w="0" w:type="dxa"/>
              <w:left w:w="0" w:type="dxa"/>
              <w:bottom w:w="40" w:type="dxa"/>
              <w:right w:w="0" w:type="dxa"/>
            </w:tcMar>
            <w:vAlign w:val="center"/>
          </w:tcPr>
          <w:p>
            <w:pPr>
              <w:pStyle w:val="TableContents"/>
              <w:bidi w:val="0"/>
              <w:spacing w:before="40" w:after="283"/>
              <w:ind w:left="14" w:right="0" w:firstLine="14"/>
              <w:jc w:val="left"/>
              <w:rPr>
                <w:rFonts w:ascii="Montserrat;sans-serif" w:hAnsi="Montserrat;sans-serif"/>
                <w:color w:val="000000"/>
                <w:sz w:val="18"/>
              </w:rPr>
            </w:pPr>
            <w:r>
              <w:rPr>
                <w:rFonts w:ascii="Montserrat;sans-serif" w:hAnsi="Montserrat;sans-serif"/>
                <w:color w:val="000000"/>
                <w:sz w:val="18"/>
              </w:rPr>
              <w:t>100% of Target</w:t>
            </w:r>
          </w:p>
        </w:tc>
        <w:tc>
          <w:tcPr>
            <w:tcW w:w="160" w:type="dxa"/>
            <w:tcBorders>
              <w:bottom w:val="single" w:sz="4" w:space="0" w:color="000000"/>
            </w:tcBorders>
            <w:tcMar>
              <w:top w:w="0" w:type="dxa"/>
              <w:left w:w="0" w:type="dxa"/>
              <w:bottom w:w="40" w:type="dxa"/>
              <w:right w:w="0" w:type="dxa"/>
            </w:tcMar>
            <w:vAlign w:val="center"/>
          </w:tcPr>
          <w:p>
            <w:pPr>
              <w:pStyle w:val="TableContents"/>
              <w:bidi w:val="0"/>
              <w:spacing w:before="40" w:after="283"/>
              <w:ind w:left="0" w:right="0" w:firstLine="14"/>
              <w:jc w:val="left"/>
              <w:rPr/>
            </w:pPr>
            <w:r>
              <w:rPr/>
              <w:t> </w:t>
            </w:r>
          </w:p>
        </w:tc>
        <w:tc>
          <w:tcPr>
            <w:tcW w:w="2366" w:type="dxa"/>
            <w:tcBorders>
              <w:bottom w:val="single" w:sz="4" w:space="0" w:color="000000"/>
            </w:tcBorders>
            <w:tcMar>
              <w:top w:w="0" w:type="dxa"/>
              <w:left w:w="0" w:type="dxa"/>
              <w:bottom w:w="40" w:type="dxa"/>
              <w:right w:w="0" w:type="dxa"/>
            </w:tcMar>
            <w:vAlign w:val="center"/>
          </w:tcPr>
          <w:p>
            <w:pPr>
              <w:pStyle w:val="TableContents"/>
              <w:bidi w:val="0"/>
              <w:spacing w:before="40" w:after="283"/>
              <w:ind w:left="14" w:right="0" w:firstLine="14"/>
              <w:jc w:val="left"/>
              <w:rPr>
                <w:rFonts w:ascii="Montserrat;sans-serif" w:hAnsi="Montserrat;sans-serif"/>
                <w:color w:val="000000"/>
                <w:sz w:val="18"/>
              </w:rPr>
            </w:pPr>
            <w:r>
              <w:rPr>
                <w:rFonts w:ascii="Montserrat;sans-serif" w:hAnsi="Montserrat;sans-serif"/>
                <w:color w:val="000000"/>
                <w:sz w:val="18"/>
              </w:rPr>
              <w:t>100%</w:t>
            </w:r>
          </w:p>
        </w:tc>
      </w:tr>
      <w:tr>
        <w:trPr/>
        <w:tc>
          <w:tcPr>
            <w:tcW w:w="2900" w:type="dxa"/>
            <w:vMerge w:val="continue"/>
            <w:tcBorders>
              <w:bottom w:val="single" w:sz="4" w:space="0" w:color="000000"/>
            </w:tcBorders>
            <w:tcMar>
              <w:top w:w="0" w:type="dxa"/>
              <w:left w:w="0" w:type="dxa"/>
              <w:bottom w:w="40" w:type="dxa"/>
              <w:right w:w="0" w:type="dxa"/>
            </w:tcMar>
            <w:vAlign w:val="center"/>
          </w:tcPr>
          <w:p>
            <w:pPr>
              <w:pStyle w:val="Normal"/>
              <w:bidi w:val="0"/>
              <w:jc w:val="left"/>
              <w:rPr/>
            </w:pPr>
            <w:r>
              <w:rPr/>
            </w:r>
          </w:p>
        </w:tc>
        <w:tc>
          <w:tcPr>
            <w:tcW w:w="160" w:type="dxa"/>
            <w:vMerge w:val="continue"/>
            <w:tcBorders>
              <w:bottom w:val="single" w:sz="4" w:space="0" w:color="000000"/>
            </w:tcBorders>
            <w:tcMar>
              <w:top w:w="0" w:type="dxa"/>
              <w:left w:w="0" w:type="dxa"/>
              <w:bottom w:w="40" w:type="dxa"/>
              <w:right w:w="0" w:type="dxa"/>
            </w:tcMar>
            <w:vAlign w:val="center"/>
          </w:tcPr>
          <w:p>
            <w:pPr>
              <w:pStyle w:val="Normal"/>
              <w:bidi w:val="0"/>
              <w:jc w:val="left"/>
              <w:rPr/>
            </w:pPr>
            <w:r>
              <w:rPr/>
            </w:r>
          </w:p>
        </w:tc>
        <w:tc>
          <w:tcPr>
            <w:tcW w:w="1301" w:type="dxa"/>
            <w:vMerge w:val="continue"/>
            <w:tcBorders>
              <w:bottom w:val="single" w:sz="4" w:space="0" w:color="000000"/>
            </w:tcBorders>
            <w:tcMar>
              <w:top w:w="0" w:type="dxa"/>
              <w:left w:w="0" w:type="dxa"/>
              <w:bottom w:w="40" w:type="dxa"/>
              <w:right w:w="0" w:type="dxa"/>
            </w:tcMar>
            <w:vAlign w:val="center"/>
          </w:tcPr>
          <w:p>
            <w:pPr>
              <w:pStyle w:val="Normal"/>
              <w:bidi w:val="0"/>
              <w:jc w:val="left"/>
              <w:rPr/>
            </w:pPr>
            <w:r>
              <w:rPr/>
            </w:r>
          </w:p>
        </w:tc>
        <w:tc>
          <w:tcPr>
            <w:tcW w:w="160" w:type="dxa"/>
            <w:tcBorders>
              <w:bottom w:val="single" w:sz="4" w:space="0" w:color="000000"/>
            </w:tcBorders>
            <w:tcMar>
              <w:top w:w="0" w:type="dxa"/>
              <w:left w:w="0" w:type="dxa"/>
              <w:bottom w:w="40" w:type="dxa"/>
              <w:right w:w="0" w:type="dxa"/>
            </w:tcMar>
            <w:vAlign w:val="center"/>
          </w:tcPr>
          <w:p>
            <w:pPr>
              <w:pStyle w:val="TableContents"/>
              <w:bidi w:val="0"/>
              <w:spacing w:before="40" w:after="283"/>
              <w:ind w:left="0" w:right="0" w:firstLine="14"/>
              <w:jc w:val="left"/>
              <w:rPr/>
            </w:pPr>
            <w:r>
              <w:rPr/>
              <w:t> </w:t>
            </w:r>
          </w:p>
        </w:tc>
        <w:tc>
          <w:tcPr>
            <w:tcW w:w="3158" w:type="dxa"/>
            <w:tcBorders>
              <w:bottom w:val="single" w:sz="4" w:space="0" w:color="000000"/>
            </w:tcBorders>
            <w:tcMar>
              <w:top w:w="0" w:type="dxa"/>
              <w:left w:w="0" w:type="dxa"/>
              <w:bottom w:w="40" w:type="dxa"/>
              <w:right w:w="0" w:type="dxa"/>
            </w:tcMar>
            <w:vAlign w:val="center"/>
          </w:tcPr>
          <w:p>
            <w:pPr>
              <w:pStyle w:val="TableContents"/>
              <w:bidi w:val="0"/>
              <w:spacing w:before="40" w:after="283"/>
              <w:ind w:left="14" w:right="0" w:firstLine="14"/>
              <w:jc w:val="left"/>
              <w:rPr>
                <w:rFonts w:ascii="Montserrat;sans-serif" w:hAnsi="Montserrat;sans-serif"/>
                <w:color w:val="000000"/>
                <w:sz w:val="18"/>
              </w:rPr>
            </w:pPr>
            <w:r>
              <w:rPr>
                <w:rFonts w:ascii="Montserrat;sans-serif" w:hAnsi="Montserrat;sans-serif"/>
                <w:color w:val="000000"/>
                <w:sz w:val="18"/>
              </w:rPr>
              <w:t>Between 100% and 105% of Target</w:t>
            </w:r>
          </w:p>
        </w:tc>
        <w:tc>
          <w:tcPr>
            <w:tcW w:w="160" w:type="dxa"/>
            <w:tcBorders>
              <w:bottom w:val="single" w:sz="4" w:space="0" w:color="000000"/>
            </w:tcBorders>
            <w:tcMar>
              <w:top w:w="0" w:type="dxa"/>
              <w:left w:w="0" w:type="dxa"/>
              <w:bottom w:w="40" w:type="dxa"/>
              <w:right w:w="0" w:type="dxa"/>
            </w:tcMar>
            <w:vAlign w:val="center"/>
          </w:tcPr>
          <w:p>
            <w:pPr>
              <w:pStyle w:val="TableContents"/>
              <w:bidi w:val="0"/>
              <w:spacing w:before="40" w:after="283"/>
              <w:ind w:left="0" w:right="0" w:firstLine="14"/>
              <w:jc w:val="left"/>
              <w:rPr/>
            </w:pPr>
            <w:r>
              <w:rPr/>
              <w:t> </w:t>
            </w:r>
          </w:p>
        </w:tc>
        <w:tc>
          <w:tcPr>
            <w:tcW w:w="2366" w:type="dxa"/>
            <w:tcBorders>
              <w:bottom w:val="single" w:sz="4" w:space="0" w:color="000000"/>
            </w:tcBorders>
            <w:tcMar>
              <w:top w:w="0" w:type="dxa"/>
              <w:left w:w="0" w:type="dxa"/>
              <w:bottom w:w="40" w:type="dxa"/>
              <w:right w:w="0" w:type="dxa"/>
            </w:tcMar>
            <w:vAlign w:val="center"/>
          </w:tcPr>
          <w:p>
            <w:pPr>
              <w:pStyle w:val="TableContents"/>
              <w:bidi w:val="0"/>
              <w:spacing w:before="40" w:after="283"/>
              <w:ind w:left="14" w:right="0" w:firstLine="14"/>
              <w:jc w:val="left"/>
              <w:rPr>
                <w:rFonts w:ascii="Montserrat;sans-serif" w:hAnsi="Montserrat;sans-serif"/>
                <w:color w:val="000000"/>
                <w:sz w:val="18"/>
              </w:rPr>
            </w:pPr>
            <w:r>
              <w:rPr>
                <w:rFonts w:ascii="Montserrat;sans-serif" w:hAnsi="Montserrat;sans-serif"/>
                <w:color w:val="000000"/>
                <w:sz w:val="18"/>
              </w:rPr>
              <w:t>Between 100% and 200%</w:t>
            </w:r>
          </w:p>
        </w:tc>
      </w:tr>
      <w:tr>
        <w:trPr/>
        <w:tc>
          <w:tcPr>
            <w:tcW w:w="2900" w:type="dxa"/>
            <w:vMerge w:val="continue"/>
            <w:tcBorders>
              <w:bottom w:val="single" w:sz="4" w:space="0" w:color="000000"/>
            </w:tcBorders>
            <w:tcMar>
              <w:top w:w="0" w:type="dxa"/>
              <w:left w:w="0" w:type="dxa"/>
              <w:bottom w:w="40" w:type="dxa"/>
              <w:right w:w="0" w:type="dxa"/>
            </w:tcMar>
            <w:vAlign w:val="center"/>
          </w:tcPr>
          <w:p>
            <w:pPr>
              <w:pStyle w:val="Normal"/>
              <w:bidi w:val="0"/>
              <w:jc w:val="left"/>
              <w:rPr/>
            </w:pPr>
            <w:r>
              <w:rPr/>
            </w:r>
          </w:p>
        </w:tc>
        <w:tc>
          <w:tcPr>
            <w:tcW w:w="160" w:type="dxa"/>
            <w:vMerge w:val="continue"/>
            <w:tcBorders>
              <w:bottom w:val="single" w:sz="4" w:space="0" w:color="000000"/>
            </w:tcBorders>
            <w:tcMar>
              <w:top w:w="0" w:type="dxa"/>
              <w:left w:w="0" w:type="dxa"/>
              <w:bottom w:w="40" w:type="dxa"/>
              <w:right w:w="0" w:type="dxa"/>
            </w:tcMar>
            <w:vAlign w:val="center"/>
          </w:tcPr>
          <w:p>
            <w:pPr>
              <w:pStyle w:val="Normal"/>
              <w:bidi w:val="0"/>
              <w:jc w:val="left"/>
              <w:rPr/>
            </w:pPr>
            <w:r>
              <w:rPr/>
            </w:r>
          </w:p>
        </w:tc>
        <w:tc>
          <w:tcPr>
            <w:tcW w:w="1301" w:type="dxa"/>
            <w:vMerge w:val="continue"/>
            <w:tcBorders>
              <w:bottom w:val="single" w:sz="4" w:space="0" w:color="000000"/>
            </w:tcBorders>
            <w:tcMar>
              <w:top w:w="0" w:type="dxa"/>
              <w:left w:w="0" w:type="dxa"/>
              <w:bottom w:w="40" w:type="dxa"/>
              <w:right w:w="0" w:type="dxa"/>
            </w:tcMar>
            <w:vAlign w:val="center"/>
          </w:tcPr>
          <w:p>
            <w:pPr>
              <w:pStyle w:val="Normal"/>
              <w:bidi w:val="0"/>
              <w:jc w:val="left"/>
              <w:rPr/>
            </w:pPr>
            <w:r>
              <w:rPr/>
            </w:r>
          </w:p>
        </w:tc>
        <w:tc>
          <w:tcPr>
            <w:tcW w:w="160" w:type="dxa"/>
            <w:tcBorders>
              <w:bottom w:val="single" w:sz="4" w:space="0" w:color="000000"/>
            </w:tcBorders>
            <w:tcMar>
              <w:top w:w="0" w:type="dxa"/>
              <w:left w:w="0" w:type="dxa"/>
              <w:bottom w:w="40" w:type="dxa"/>
              <w:right w:w="0" w:type="dxa"/>
            </w:tcMar>
            <w:vAlign w:val="center"/>
          </w:tcPr>
          <w:p>
            <w:pPr>
              <w:pStyle w:val="TableContents"/>
              <w:bidi w:val="0"/>
              <w:spacing w:before="40" w:after="283"/>
              <w:ind w:left="0" w:right="0" w:firstLine="14"/>
              <w:jc w:val="left"/>
              <w:rPr/>
            </w:pPr>
            <w:r>
              <w:rPr/>
              <w:t> </w:t>
            </w:r>
          </w:p>
        </w:tc>
        <w:tc>
          <w:tcPr>
            <w:tcW w:w="3158" w:type="dxa"/>
            <w:tcBorders>
              <w:bottom w:val="single" w:sz="4" w:space="0" w:color="000000"/>
            </w:tcBorders>
            <w:tcMar>
              <w:top w:w="0" w:type="dxa"/>
              <w:left w:w="0" w:type="dxa"/>
              <w:bottom w:w="40" w:type="dxa"/>
              <w:right w:w="0" w:type="dxa"/>
            </w:tcMar>
            <w:vAlign w:val="center"/>
          </w:tcPr>
          <w:p>
            <w:pPr>
              <w:pStyle w:val="TableContents"/>
              <w:bidi w:val="0"/>
              <w:spacing w:before="40" w:after="283"/>
              <w:ind w:left="14" w:right="0" w:firstLine="14"/>
              <w:jc w:val="left"/>
              <w:rPr>
                <w:rFonts w:ascii="Montserrat;sans-serif" w:hAnsi="Montserrat;sans-serif"/>
                <w:color w:val="000000"/>
                <w:sz w:val="18"/>
              </w:rPr>
            </w:pPr>
            <w:r>
              <w:rPr>
                <w:rFonts w:ascii="Montserrat;sans-serif" w:hAnsi="Montserrat;sans-serif"/>
                <w:color w:val="000000"/>
                <w:sz w:val="18"/>
              </w:rPr>
              <w:t>105% or More of Target</w:t>
            </w:r>
          </w:p>
        </w:tc>
        <w:tc>
          <w:tcPr>
            <w:tcW w:w="160" w:type="dxa"/>
            <w:tcBorders>
              <w:bottom w:val="single" w:sz="4" w:space="0" w:color="000000"/>
            </w:tcBorders>
            <w:tcMar>
              <w:top w:w="0" w:type="dxa"/>
              <w:left w:w="0" w:type="dxa"/>
              <w:bottom w:w="40" w:type="dxa"/>
              <w:right w:w="0" w:type="dxa"/>
            </w:tcMar>
            <w:vAlign w:val="center"/>
          </w:tcPr>
          <w:p>
            <w:pPr>
              <w:pStyle w:val="TableContents"/>
              <w:bidi w:val="0"/>
              <w:spacing w:before="40" w:after="283"/>
              <w:ind w:left="0" w:right="0" w:firstLine="14"/>
              <w:jc w:val="left"/>
              <w:rPr/>
            </w:pPr>
            <w:r>
              <w:rPr/>
              <w:t> </w:t>
            </w:r>
          </w:p>
        </w:tc>
        <w:tc>
          <w:tcPr>
            <w:tcW w:w="2366" w:type="dxa"/>
            <w:tcBorders>
              <w:bottom w:val="single" w:sz="4" w:space="0" w:color="000000"/>
            </w:tcBorders>
            <w:tcMar>
              <w:top w:w="0" w:type="dxa"/>
              <w:left w:w="0" w:type="dxa"/>
              <w:bottom w:w="40" w:type="dxa"/>
              <w:right w:w="0" w:type="dxa"/>
            </w:tcMar>
            <w:vAlign w:val="center"/>
          </w:tcPr>
          <w:p>
            <w:pPr>
              <w:pStyle w:val="TableContents"/>
              <w:bidi w:val="0"/>
              <w:spacing w:before="40" w:after="283"/>
              <w:ind w:left="0" w:right="0" w:firstLine="14"/>
              <w:jc w:val="left"/>
              <w:rPr>
                <w:rFonts w:ascii="Montserrat;sans-serif" w:hAnsi="Montserrat;sans-serif"/>
                <w:color w:val="000000"/>
                <w:sz w:val="18"/>
              </w:rPr>
            </w:pPr>
            <w:r>
              <w:rPr>
                <w:rFonts w:ascii="Montserrat;sans-serif" w:hAnsi="Montserrat;sans-serif"/>
                <w:color w:val="000000"/>
                <w:sz w:val="18"/>
              </w:rPr>
              <w:t>200%</w:t>
            </w:r>
          </w:p>
        </w:tc>
      </w:tr>
      <w:tr>
        <w:trPr/>
        <w:tc>
          <w:tcPr>
            <w:tcW w:w="2900" w:type="dxa"/>
            <w:vMerge w:val="restart"/>
            <w:tcBorders>
              <w:bottom w:val="single" w:sz="4" w:space="0" w:color="7855FA"/>
            </w:tcBorders>
            <w:tcMar>
              <w:top w:w="0" w:type="dxa"/>
              <w:left w:w="0" w:type="dxa"/>
              <w:bottom w:w="40" w:type="dxa"/>
              <w:right w:w="0" w:type="dxa"/>
            </w:tcMar>
            <w:vAlign w:val="center"/>
          </w:tcPr>
          <w:p>
            <w:pPr>
              <w:pStyle w:val="TableContents"/>
              <w:bidi w:val="0"/>
              <w:spacing w:before="120" w:after="283"/>
              <w:ind w:left="14" w:right="0" w:firstLine="14"/>
              <w:jc w:val="left"/>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Non-GAAP Operating Income</w:t>
            </w:r>
          </w:p>
        </w:tc>
        <w:tc>
          <w:tcPr>
            <w:tcW w:w="160" w:type="dxa"/>
            <w:vMerge w:val="restart"/>
            <w:tcBorders>
              <w:bottom w:val="single" w:sz="4" w:space="0" w:color="7855FA"/>
            </w:tcBorders>
            <w:tcMar>
              <w:top w:w="0" w:type="dxa"/>
              <w:left w:w="0" w:type="dxa"/>
              <w:bottom w:w="40" w:type="dxa"/>
              <w:right w:w="0" w:type="dxa"/>
            </w:tcMar>
            <w:vAlign w:val="center"/>
          </w:tcPr>
          <w:p>
            <w:pPr>
              <w:pStyle w:val="TableContents"/>
              <w:bidi w:val="0"/>
              <w:spacing w:before="120" w:after="283"/>
              <w:jc w:val="center"/>
              <w:rPr/>
            </w:pPr>
            <w:r>
              <w:rPr/>
              <w:t> </w:t>
            </w:r>
          </w:p>
        </w:tc>
        <w:tc>
          <w:tcPr>
            <w:tcW w:w="1301" w:type="dxa"/>
            <w:vMerge w:val="restart"/>
            <w:tcBorders>
              <w:bottom w:val="single" w:sz="4" w:space="0" w:color="7855FA"/>
            </w:tcBorders>
            <w:tcMar>
              <w:top w:w="0" w:type="dxa"/>
              <w:left w:w="0" w:type="dxa"/>
              <w:bottom w:w="40" w:type="dxa"/>
              <w:right w:w="0" w:type="dxa"/>
            </w:tcMar>
            <w:vAlign w:val="center"/>
          </w:tcPr>
          <w:p>
            <w:pPr>
              <w:pStyle w:val="TableContents"/>
              <w:bidi w:val="0"/>
              <w:spacing w:before="120" w:after="283"/>
              <w:jc w:val="center"/>
              <w:rPr/>
            </w:pPr>
            <w:r>
              <w:rPr/>
              <w:drawing>
                <wp:inline distT="0" distB="0" distL="0" distR="0">
                  <wp:extent cx="771525" cy="552450"/>
                  <wp:effectExtent l="0" t="0" r="0" b="0"/>
                  <wp:docPr id="188"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77" descr=""/>
                          <pic:cNvPicPr>
                            <a:picLocks noChangeAspect="1" noChangeArrowheads="1"/>
                          </pic:cNvPicPr>
                        </pic:nvPicPr>
                        <pic:blipFill>
                          <a:blip r:embed="rId181"/>
                          <a:stretch>
                            <a:fillRect/>
                          </a:stretch>
                        </pic:blipFill>
                        <pic:spPr bwMode="auto">
                          <a:xfrm>
                            <a:off x="0" y="0"/>
                            <a:ext cx="771525" cy="552450"/>
                          </a:xfrm>
                          <a:prstGeom prst="rect">
                            <a:avLst/>
                          </a:prstGeom>
                        </pic:spPr>
                      </pic:pic>
                    </a:graphicData>
                  </a:graphic>
                </wp:inline>
              </w:drawing>
            </w:r>
          </w:p>
        </w:tc>
        <w:tc>
          <w:tcPr>
            <w:tcW w:w="160" w:type="dxa"/>
            <w:tcBorders>
              <w:bottom w:val="single" w:sz="4" w:space="0" w:color="000000"/>
            </w:tcBorders>
            <w:tcMar>
              <w:top w:w="0" w:type="dxa"/>
              <w:left w:w="0" w:type="dxa"/>
              <w:bottom w:w="40" w:type="dxa"/>
              <w:right w:w="0" w:type="dxa"/>
            </w:tcMar>
            <w:vAlign w:val="center"/>
          </w:tcPr>
          <w:p>
            <w:pPr>
              <w:pStyle w:val="TableContents"/>
              <w:bidi w:val="0"/>
              <w:spacing w:before="40" w:after="283"/>
              <w:ind w:left="0" w:right="0" w:firstLine="14"/>
              <w:jc w:val="left"/>
              <w:rPr/>
            </w:pPr>
            <w:r>
              <w:rPr/>
              <w:t> </w:t>
            </w:r>
          </w:p>
        </w:tc>
        <w:tc>
          <w:tcPr>
            <w:tcW w:w="3158" w:type="dxa"/>
            <w:tcBorders>
              <w:bottom w:val="single" w:sz="4" w:space="0" w:color="000000"/>
            </w:tcBorders>
            <w:tcMar>
              <w:top w:w="0" w:type="dxa"/>
              <w:left w:w="0" w:type="dxa"/>
              <w:bottom w:w="40" w:type="dxa"/>
              <w:right w:w="0" w:type="dxa"/>
            </w:tcMar>
            <w:vAlign w:val="center"/>
          </w:tcPr>
          <w:p>
            <w:pPr>
              <w:pStyle w:val="TableContents"/>
              <w:bidi w:val="0"/>
              <w:spacing w:before="40" w:after="283"/>
              <w:ind w:left="0" w:right="0" w:firstLine="14"/>
              <w:jc w:val="left"/>
              <w:rPr>
                <w:rFonts w:ascii="Montserrat;sans-serif" w:hAnsi="Montserrat;sans-serif"/>
                <w:color w:val="000000"/>
                <w:sz w:val="18"/>
              </w:rPr>
            </w:pPr>
            <w:r>
              <w:rPr>
                <w:rFonts w:ascii="Montserrat;sans-serif" w:hAnsi="Montserrat;sans-serif"/>
                <w:color w:val="000000"/>
                <w:sz w:val="18"/>
              </w:rPr>
              <w:t>Less than 87% of Target</w:t>
            </w:r>
          </w:p>
        </w:tc>
        <w:tc>
          <w:tcPr>
            <w:tcW w:w="160" w:type="dxa"/>
            <w:tcBorders>
              <w:bottom w:val="single" w:sz="4" w:space="0" w:color="000000"/>
            </w:tcBorders>
            <w:tcMar>
              <w:top w:w="0" w:type="dxa"/>
              <w:left w:w="0" w:type="dxa"/>
              <w:bottom w:w="40" w:type="dxa"/>
              <w:right w:w="0" w:type="dxa"/>
            </w:tcMar>
            <w:vAlign w:val="center"/>
          </w:tcPr>
          <w:p>
            <w:pPr>
              <w:pStyle w:val="TableContents"/>
              <w:bidi w:val="0"/>
              <w:spacing w:before="40" w:after="283"/>
              <w:ind w:left="0" w:right="0" w:firstLine="14"/>
              <w:jc w:val="left"/>
              <w:rPr/>
            </w:pPr>
            <w:r>
              <w:rPr/>
              <w:t> </w:t>
            </w:r>
          </w:p>
        </w:tc>
        <w:tc>
          <w:tcPr>
            <w:tcW w:w="2366" w:type="dxa"/>
            <w:tcBorders>
              <w:bottom w:val="single" w:sz="4" w:space="0" w:color="000000"/>
            </w:tcBorders>
            <w:tcMar>
              <w:top w:w="0" w:type="dxa"/>
              <w:left w:w="0" w:type="dxa"/>
              <w:bottom w:w="40" w:type="dxa"/>
              <w:right w:w="0" w:type="dxa"/>
            </w:tcMar>
            <w:vAlign w:val="center"/>
          </w:tcPr>
          <w:p>
            <w:pPr>
              <w:pStyle w:val="TableContents"/>
              <w:bidi w:val="0"/>
              <w:spacing w:before="40" w:after="283"/>
              <w:ind w:left="14" w:right="0" w:firstLine="14"/>
              <w:jc w:val="left"/>
              <w:rPr>
                <w:rFonts w:ascii="Montserrat;sans-serif" w:hAnsi="Montserrat;sans-serif"/>
                <w:color w:val="000000"/>
                <w:sz w:val="18"/>
              </w:rPr>
            </w:pPr>
            <w:r>
              <w:rPr>
                <w:rFonts w:ascii="Montserrat;sans-serif" w:hAnsi="Montserrat;sans-serif"/>
                <w:color w:val="000000"/>
                <w:sz w:val="18"/>
              </w:rPr>
              <w:t>0%</w:t>
            </w:r>
          </w:p>
        </w:tc>
      </w:tr>
      <w:tr>
        <w:trPr/>
        <w:tc>
          <w:tcPr>
            <w:tcW w:w="2900" w:type="dxa"/>
            <w:vMerge w:val="continue"/>
            <w:tcBorders>
              <w:bottom w:val="single" w:sz="4" w:space="0" w:color="7855FA"/>
            </w:tcBorders>
            <w:tcMar>
              <w:top w:w="0" w:type="dxa"/>
              <w:left w:w="0" w:type="dxa"/>
              <w:bottom w:w="40" w:type="dxa"/>
              <w:right w:w="0" w:type="dxa"/>
            </w:tcMar>
            <w:vAlign w:val="center"/>
          </w:tcPr>
          <w:p>
            <w:pPr>
              <w:pStyle w:val="Normal"/>
              <w:bidi w:val="0"/>
              <w:jc w:val="left"/>
              <w:rPr/>
            </w:pPr>
            <w:r>
              <w:rPr/>
            </w:r>
          </w:p>
        </w:tc>
        <w:tc>
          <w:tcPr>
            <w:tcW w:w="160" w:type="dxa"/>
            <w:vMerge w:val="continue"/>
            <w:tcBorders>
              <w:bottom w:val="single" w:sz="4" w:space="0" w:color="7855FA"/>
            </w:tcBorders>
            <w:tcMar>
              <w:top w:w="0" w:type="dxa"/>
              <w:left w:w="0" w:type="dxa"/>
              <w:bottom w:w="40" w:type="dxa"/>
              <w:right w:w="0" w:type="dxa"/>
            </w:tcMar>
            <w:vAlign w:val="center"/>
          </w:tcPr>
          <w:p>
            <w:pPr>
              <w:pStyle w:val="Normal"/>
              <w:bidi w:val="0"/>
              <w:jc w:val="left"/>
              <w:rPr/>
            </w:pPr>
            <w:r>
              <w:rPr/>
            </w:r>
          </w:p>
        </w:tc>
        <w:tc>
          <w:tcPr>
            <w:tcW w:w="1301" w:type="dxa"/>
            <w:vMerge w:val="continue"/>
            <w:tcBorders>
              <w:bottom w:val="single" w:sz="4" w:space="0" w:color="7855FA"/>
            </w:tcBorders>
            <w:tcMar>
              <w:top w:w="0" w:type="dxa"/>
              <w:left w:w="0" w:type="dxa"/>
              <w:bottom w:w="40" w:type="dxa"/>
              <w:right w:w="0" w:type="dxa"/>
            </w:tcMar>
            <w:vAlign w:val="center"/>
          </w:tcPr>
          <w:p>
            <w:pPr>
              <w:pStyle w:val="Normal"/>
              <w:bidi w:val="0"/>
              <w:jc w:val="left"/>
              <w:rPr/>
            </w:pPr>
            <w:r>
              <w:rPr/>
            </w:r>
          </w:p>
        </w:tc>
        <w:tc>
          <w:tcPr>
            <w:tcW w:w="160" w:type="dxa"/>
            <w:tcBorders>
              <w:bottom w:val="single" w:sz="4" w:space="0" w:color="000000"/>
            </w:tcBorders>
            <w:tcMar>
              <w:top w:w="0" w:type="dxa"/>
              <w:left w:w="0" w:type="dxa"/>
              <w:bottom w:w="40" w:type="dxa"/>
              <w:right w:w="0" w:type="dxa"/>
            </w:tcMar>
            <w:vAlign w:val="center"/>
          </w:tcPr>
          <w:p>
            <w:pPr>
              <w:pStyle w:val="TableContents"/>
              <w:bidi w:val="0"/>
              <w:spacing w:before="40" w:after="283"/>
              <w:ind w:left="0" w:right="0" w:firstLine="14"/>
              <w:jc w:val="left"/>
              <w:rPr/>
            </w:pPr>
            <w:r>
              <w:rPr/>
              <w:t> </w:t>
            </w:r>
          </w:p>
        </w:tc>
        <w:tc>
          <w:tcPr>
            <w:tcW w:w="3158" w:type="dxa"/>
            <w:tcBorders>
              <w:bottom w:val="single" w:sz="4" w:space="0" w:color="000000"/>
            </w:tcBorders>
            <w:tcMar>
              <w:top w:w="0" w:type="dxa"/>
              <w:left w:w="0" w:type="dxa"/>
              <w:bottom w:w="40" w:type="dxa"/>
              <w:right w:w="0" w:type="dxa"/>
            </w:tcMar>
            <w:vAlign w:val="center"/>
          </w:tcPr>
          <w:p>
            <w:pPr>
              <w:pStyle w:val="TableContents"/>
              <w:bidi w:val="0"/>
              <w:spacing w:before="40" w:after="283"/>
              <w:ind w:left="14" w:right="0" w:firstLine="14"/>
              <w:jc w:val="left"/>
              <w:rPr>
                <w:rFonts w:ascii="Montserrat;sans-serif" w:hAnsi="Montserrat;sans-serif"/>
                <w:color w:val="000000"/>
                <w:sz w:val="18"/>
              </w:rPr>
            </w:pPr>
            <w:r>
              <w:rPr>
                <w:rFonts w:ascii="Montserrat;sans-serif" w:hAnsi="Montserrat;sans-serif"/>
                <w:color w:val="000000"/>
                <w:sz w:val="18"/>
              </w:rPr>
              <w:t>Between 87% and 100% of Target</w:t>
            </w:r>
          </w:p>
        </w:tc>
        <w:tc>
          <w:tcPr>
            <w:tcW w:w="160" w:type="dxa"/>
            <w:tcBorders>
              <w:bottom w:val="single" w:sz="4" w:space="0" w:color="000000"/>
            </w:tcBorders>
            <w:tcMar>
              <w:top w:w="0" w:type="dxa"/>
              <w:left w:w="0" w:type="dxa"/>
              <w:bottom w:w="40" w:type="dxa"/>
              <w:right w:w="0" w:type="dxa"/>
            </w:tcMar>
            <w:vAlign w:val="center"/>
          </w:tcPr>
          <w:p>
            <w:pPr>
              <w:pStyle w:val="TableContents"/>
              <w:bidi w:val="0"/>
              <w:spacing w:before="40" w:after="283"/>
              <w:ind w:left="0" w:right="0" w:firstLine="14"/>
              <w:jc w:val="left"/>
              <w:rPr/>
            </w:pPr>
            <w:r>
              <w:rPr/>
              <w:t> </w:t>
            </w:r>
          </w:p>
        </w:tc>
        <w:tc>
          <w:tcPr>
            <w:tcW w:w="2366" w:type="dxa"/>
            <w:tcBorders>
              <w:bottom w:val="single" w:sz="4" w:space="0" w:color="000000"/>
            </w:tcBorders>
            <w:tcMar>
              <w:top w:w="0" w:type="dxa"/>
              <w:left w:w="0" w:type="dxa"/>
              <w:bottom w:w="40" w:type="dxa"/>
              <w:right w:w="0" w:type="dxa"/>
            </w:tcMar>
            <w:vAlign w:val="center"/>
          </w:tcPr>
          <w:p>
            <w:pPr>
              <w:pStyle w:val="TableContents"/>
              <w:bidi w:val="0"/>
              <w:spacing w:before="40" w:after="283"/>
              <w:ind w:left="14" w:right="0" w:firstLine="14"/>
              <w:jc w:val="left"/>
              <w:rPr>
                <w:rFonts w:ascii="Montserrat;sans-serif" w:hAnsi="Montserrat;sans-serif"/>
                <w:color w:val="000000"/>
                <w:sz w:val="18"/>
              </w:rPr>
            </w:pPr>
            <w:r>
              <w:rPr>
                <w:rFonts w:ascii="Montserrat;sans-serif" w:hAnsi="Montserrat;sans-serif"/>
                <w:color w:val="000000"/>
                <w:sz w:val="18"/>
              </w:rPr>
              <w:t>Between 0% and 100%</w:t>
            </w:r>
          </w:p>
        </w:tc>
      </w:tr>
      <w:tr>
        <w:trPr/>
        <w:tc>
          <w:tcPr>
            <w:tcW w:w="2900" w:type="dxa"/>
            <w:vMerge w:val="continue"/>
            <w:tcBorders>
              <w:bottom w:val="single" w:sz="4" w:space="0" w:color="7855FA"/>
            </w:tcBorders>
            <w:tcMar>
              <w:top w:w="0" w:type="dxa"/>
              <w:left w:w="0" w:type="dxa"/>
              <w:bottom w:w="40" w:type="dxa"/>
              <w:right w:w="0" w:type="dxa"/>
            </w:tcMar>
            <w:vAlign w:val="center"/>
          </w:tcPr>
          <w:p>
            <w:pPr>
              <w:pStyle w:val="Normal"/>
              <w:bidi w:val="0"/>
              <w:jc w:val="left"/>
              <w:rPr/>
            </w:pPr>
            <w:r>
              <w:rPr/>
            </w:r>
          </w:p>
        </w:tc>
        <w:tc>
          <w:tcPr>
            <w:tcW w:w="160" w:type="dxa"/>
            <w:vMerge w:val="continue"/>
            <w:tcBorders>
              <w:bottom w:val="single" w:sz="4" w:space="0" w:color="7855FA"/>
            </w:tcBorders>
            <w:tcMar>
              <w:top w:w="0" w:type="dxa"/>
              <w:left w:w="0" w:type="dxa"/>
              <w:bottom w:w="40" w:type="dxa"/>
              <w:right w:w="0" w:type="dxa"/>
            </w:tcMar>
            <w:vAlign w:val="center"/>
          </w:tcPr>
          <w:p>
            <w:pPr>
              <w:pStyle w:val="Normal"/>
              <w:bidi w:val="0"/>
              <w:jc w:val="left"/>
              <w:rPr/>
            </w:pPr>
            <w:r>
              <w:rPr/>
            </w:r>
          </w:p>
        </w:tc>
        <w:tc>
          <w:tcPr>
            <w:tcW w:w="1301" w:type="dxa"/>
            <w:vMerge w:val="continue"/>
            <w:tcBorders>
              <w:bottom w:val="single" w:sz="4" w:space="0" w:color="7855FA"/>
            </w:tcBorders>
            <w:tcMar>
              <w:top w:w="0" w:type="dxa"/>
              <w:left w:w="0" w:type="dxa"/>
              <w:bottom w:w="40" w:type="dxa"/>
              <w:right w:w="0" w:type="dxa"/>
            </w:tcMar>
            <w:vAlign w:val="center"/>
          </w:tcPr>
          <w:p>
            <w:pPr>
              <w:pStyle w:val="Normal"/>
              <w:bidi w:val="0"/>
              <w:jc w:val="left"/>
              <w:rPr/>
            </w:pPr>
            <w:r>
              <w:rPr/>
            </w:r>
          </w:p>
        </w:tc>
        <w:tc>
          <w:tcPr>
            <w:tcW w:w="160" w:type="dxa"/>
            <w:tcBorders>
              <w:bottom w:val="single" w:sz="4" w:space="0" w:color="000000"/>
            </w:tcBorders>
            <w:tcMar>
              <w:top w:w="0" w:type="dxa"/>
              <w:left w:w="0" w:type="dxa"/>
              <w:bottom w:w="40" w:type="dxa"/>
              <w:right w:w="0" w:type="dxa"/>
            </w:tcMar>
            <w:vAlign w:val="center"/>
          </w:tcPr>
          <w:p>
            <w:pPr>
              <w:pStyle w:val="TableContents"/>
              <w:bidi w:val="0"/>
              <w:spacing w:before="40" w:after="283"/>
              <w:ind w:left="0" w:right="0" w:firstLine="14"/>
              <w:jc w:val="left"/>
              <w:rPr/>
            </w:pPr>
            <w:r>
              <w:rPr/>
              <w:t> </w:t>
            </w:r>
          </w:p>
        </w:tc>
        <w:tc>
          <w:tcPr>
            <w:tcW w:w="3158" w:type="dxa"/>
            <w:tcBorders>
              <w:bottom w:val="single" w:sz="4" w:space="0" w:color="000000"/>
            </w:tcBorders>
            <w:tcMar>
              <w:top w:w="0" w:type="dxa"/>
              <w:left w:w="0" w:type="dxa"/>
              <w:bottom w:w="40" w:type="dxa"/>
              <w:right w:w="0" w:type="dxa"/>
            </w:tcMar>
            <w:vAlign w:val="center"/>
          </w:tcPr>
          <w:p>
            <w:pPr>
              <w:pStyle w:val="TableContents"/>
              <w:bidi w:val="0"/>
              <w:spacing w:before="40" w:after="283"/>
              <w:ind w:left="14" w:right="0" w:firstLine="14"/>
              <w:jc w:val="left"/>
              <w:rPr>
                <w:rFonts w:ascii="Montserrat;sans-serif" w:hAnsi="Montserrat;sans-serif"/>
                <w:color w:val="000000"/>
                <w:sz w:val="18"/>
              </w:rPr>
            </w:pPr>
            <w:r>
              <w:rPr>
                <w:rFonts w:ascii="Montserrat;sans-serif" w:hAnsi="Montserrat;sans-serif"/>
                <w:color w:val="000000"/>
                <w:sz w:val="18"/>
              </w:rPr>
              <w:t>100% of Target</w:t>
            </w:r>
          </w:p>
        </w:tc>
        <w:tc>
          <w:tcPr>
            <w:tcW w:w="160" w:type="dxa"/>
            <w:tcBorders>
              <w:bottom w:val="single" w:sz="4" w:space="0" w:color="000000"/>
            </w:tcBorders>
            <w:tcMar>
              <w:top w:w="0" w:type="dxa"/>
              <w:left w:w="0" w:type="dxa"/>
              <w:bottom w:w="40" w:type="dxa"/>
              <w:right w:w="0" w:type="dxa"/>
            </w:tcMar>
            <w:vAlign w:val="center"/>
          </w:tcPr>
          <w:p>
            <w:pPr>
              <w:pStyle w:val="TableContents"/>
              <w:bidi w:val="0"/>
              <w:spacing w:before="40" w:after="283"/>
              <w:ind w:left="0" w:right="0" w:firstLine="14"/>
              <w:jc w:val="left"/>
              <w:rPr/>
            </w:pPr>
            <w:r>
              <w:rPr/>
              <w:t> </w:t>
            </w:r>
          </w:p>
        </w:tc>
        <w:tc>
          <w:tcPr>
            <w:tcW w:w="2366" w:type="dxa"/>
            <w:tcBorders>
              <w:bottom w:val="single" w:sz="4" w:space="0" w:color="000000"/>
            </w:tcBorders>
            <w:tcMar>
              <w:top w:w="0" w:type="dxa"/>
              <w:left w:w="0" w:type="dxa"/>
              <w:bottom w:w="40" w:type="dxa"/>
              <w:right w:w="0" w:type="dxa"/>
            </w:tcMar>
            <w:vAlign w:val="center"/>
          </w:tcPr>
          <w:p>
            <w:pPr>
              <w:pStyle w:val="TableContents"/>
              <w:bidi w:val="0"/>
              <w:spacing w:before="40" w:after="283"/>
              <w:ind w:left="14" w:right="0" w:firstLine="14"/>
              <w:jc w:val="left"/>
              <w:rPr>
                <w:rFonts w:ascii="Montserrat;sans-serif" w:hAnsi="Montserrat;sans-serif"/>
                <w:color w:val="000000"/>
                <w:sz w:val="18"/>
              </w:rPr>
            </w:pPr>
            <w:r>
              <w:rPr>
                <w:rFonts w:ascii="Montserrat;sans-serif" w:hAnsi="Montserrat;sans-serif"/>
                <w:color w:val="000000"/>
                <w:sz w:val="18"/>
              </w:rPr>
              <w:t>100%</w:t>
            </w:r>
          </w:p>
        </w:tc>
      </w:tr>
      <w:tr>
        <w:trPr/>
        <w:tc>
          <w:tcPr>
            <w:tcW w:w="2900" w:type="dxa"/>
            <w:vMerge w:val="continue"/>
            <w:tcBorders>
              <w:bottom w:val="single" w:sz="4" w:space="0" w:color="7855FA"/>
            </w:tcBorders>
            <w:tcMar>
              <w:top w:w="0" w:type="dxa"/>
              <w:left w:w="0" w:type="dxa"/>
              <w:bottom w:w="40" w:type="dxa"/>
              <w:right w:w="0" w:type="dxa"/>
            </w:tcMar>
            <w:vAlign w:val="center"/>
          </w:tcPr>
          <w:p>
            <w:pPr>
              <w:pStyle w:val="Normal"/>
              <w:bidi w:val="0"/>
              <w:jc w:val="left"/>
              <w:rPr/>
            </w:pPr>
            <w:r>
              <w:rPr/>
            </w:r>
          </w:p>
        </w:tc>
        <w:tc>
          <w:tcPr>
            <w:tcW w:w="160" w:type="dxa"/>
            <w:vMerge w:val="continue"/>
            <w:tcBorders>
              <w:bottom w:val="single" w:sz="4" w:space="0" w:color="7855FA"/>
            </w:tcBorders>
            <w:tcMar>
              <w:top w:w="0" w:type="dxa"/>
              <w:left w:w="0" w:type="dxa"/>
              <w:bottom w:w="40" w:type="dxa"/>
              <w:right w:w="0" w:type="dxa"/>
            </w:tcMar>
            <w:vAlign w:val="center"/>
          </w:tcPr>
          <w:p>
            <w:pPr>
              <w:pStyle w:val="Normal"/>
              <w:bidi w:val="0"/>
              <w:jc w:val="left"/>
              <w:rPr/>
            </w:pPr>
            <w:r>
              <w:rPr/>
            </w:r>
          </w:p>
        </w:tc>
        <w:tc>
          <w:tcPr>
            <w:tcW w:w="1301" w:type="dxa"/>
            <w:vMerge w:val="continue"/>
            <w:tcBorders>
              <w:bottom w:val="single" w:sz="4" w:space="0" w:color="7855FA"/>
            </w:tcBorders>
            <w:tcMar>
              <w:top w:w="0" w:type="dxa"/>
              <w:left w:w="0" w:type="dxa"/>
              <w:bottom w:w="40" w:type="dxa"/>
              <w:right w:w="0" w:type="dxa"/>
            </w:tcMar>
            <w:vAlign w:val="center"/>
          </w:tcPr>
          <w:p>
            <w:pPr>
              <w:pStyle w:val="Normal"/>
              <w:bidi w:val="0"/>
              <w:jc w:val="left"/>
              <w:rPr/>
            </w:pPr>
            <w:r>
              <w:rPr/>
            </w:r>
          </w:p>
        </w:tc>
        <w:tc>
          <w:tcPr>
            <w:tcW w:w="160" w:type="dxa"/>
            <w:tcBorders>
              <w:bottom w:val="single" w:sz="4" w:space="0" w:color="000000"/>
            </w:tcBorders>
            <w:tcMar>
              <w:top w:w="0" w:type="dxa"/>
              <w:left w:w="0" w:type="dxa"/>
              <w:bottom w:w="40" w:type="dxa"/>
              <w:right w:w="0" w:type="dxa"/>
            </w:tcMar>
            <w:vAlign w:val="center"/>
          </w:tcPr>
          <w:p>
            <w:pPr>
              <w:pStyle w:val="TableContents"/>
              <w:bidi w:val="0"/>
              <w:spacing w:before="40" w:after="283"/>
              <w:ind w:left="0" w:right="0" w:firstLine="14"/>
              <w:jc w:val="left"/>
              <w:rPr/>
            </w:pPr>
            <w:r>
              <w:rPr/>
              <w:t> </w:t>
            </w:r>
          </w:p>
        </w:tc>
        <w:tc>
          <w:tcPr>
            <w:tcW w:w="3158" w:type="dxa"/>
            <w:tcBorders>
              <w:bottom w:val="single" w:sz="4" w:space="0" w:color="000000"/>
            </w:tcBorders>
            <w:tcMar>
              <w:top w:w="0" w:type="dxa"/>
              <w:left w:w="0" w:type="dxa"/>
              <w:bottom w:w="40" w:type="dxa"/>
              <w:right w:w="0" w:type="dxa"/>
            </w:tcMar>
            <w:vAlign w:val="center"/>
          </w:tcPr>
          <w:p>
            <w:pPr>
              <w:pStyle w:val="TableContents"/>
              <w:bidi w:val="0"/>
              <w:spacing w:before="40" w:after="283"/>
              <w:ind w:left="14" w:right="0" w:firstLine="14"/>
              <w:jc w:val="left"/>
              <w:rPr>
                <w:rFonts w:ascii="Montserrat;sans-serif" w:hAnsi="Montserrat;sans-serif"/>
                <w:color w:val="000000"/>
                <w:sz w:val="18"/>
              </w:rPr>
            </w:pPr>
            <w:r>
              <w:rPr>
                <w:rFonts w:ascii="Montserrat;sans-serif" w:hAnsi="Montserrat;sans-serif"/>
                <w:color w:val="000000"/>
                <w:sz w:val="18"/>
              </w:rPr>
              <w:t>Between 100% and 113% of Target</w:t>
            </w:r>
          </w:p>
        </w:tc>
        <w:tc>
          <w:tcPr>
            <w:tcW w:w="160" w:type="dxa"/>
            <w:tcBorders>
              <w:bottom w:val="single" w:sz="4" w:space="0" w:color="000000"/>
            </w:tcBorders>
            <w:tcMar>
              <w:top w:w="0" w:type="dxa"/>
              <w:left w:w="0" w:type="dxa"/>
              <w:bottom w:w="40" w:type="dxa"/>
              <w:right w:w="0" w:type="dxa"/>
            </w:tcMar>
            <w:vAlign w:val="center"/>
          </w:tcPr>
          <w:p>
            <w:pPr>
              <w:pStyle w:val="TableContents"/>
              <w:bidi w:val="0"/>
              <w:spacing w:before="40" w:after="283"/>
              <w:ind w:left="0" w:right="0" w:firstLine="14"/>
              <w:jc w:val="left"/>
              <w:rPr/>
            </w:pPr>
            <w:r>
              <w:rPr/>
              <w:t> </w:t>
            </w:r>
          </w:p>
        </w:tc>
        <w:tc>
          <w:tcPr>
            <w:tcW w:w="2366" w:type="dxa"/>
            <w:tcBorders>
              <w:bottom w:val="single" w:sz="4" w:space="0" w:color="000000"/>
            </w:tcBorders>
            <w:tcMar>
              <w:top w:w="0" w:type="dxa"/>
              <w:left w:w="0" w:type="dxa"/>
              <w:bottom w:w="40" w:type="dxa"/>
              <w:right w:w="0" w:type="dxa"/>
            </w:tcMar>
            <w:vAlign w:val="center"/>
          </w:tcPr>
          <w:p>
            <w:pPr>
              <w:pStyle w:val="TableContents"/>
              <w:bidi w:val="0"/>
              <w:spacing w:before="40" w:after="283"/>
              <w:ind w:left="14" w:right="0" w:firstLine="14"/>
              <w:jc w:val="left"/>
              <w:rPr>
                <w:rFonts w:ascii="Montserrat;sans-serif" w:hAnsi="Montserrat;sans-serif"/>
                <w:color w:val="000000"/>
                <w:sz w:val="18"/>
              </w:rPr>
            </w:pPr>
            <w:r>
              <w:rPr>
                <w:rFonts w:ascii="Montserrat;sans-serif" w:hAnsi="Montserrat;sans-serif"/>
                <w:color w:val="000000"/>
                <w:sz w:val="18"/>
              </w:rPr>
              <w:t>Between 100% and 200%</w:t>
            </w:r>
          </w:p>
        </w:tc>
      </w:tr>
      <w:tr>
        <w:trPr/>
        <w:tc>
          <w:tcPr>
            <w:tcW w:w="2900" w:type="dxa"/>
            <w:vMerge w:val="continue"/>
            <w:tcBorders>
              <w:bottom w:val="single" w:sz="4" w:space="0" w:color="7855FA"/>
            </w:tcBorders>
            <w:tcMar>
              <w:top w:w="0" w:type="dxa"/>
              <w:left w:w="0" w:type="dxa"/>
              <w:bottom w:w="40" w:type="dxa"/>
              <w:right w:w="0" w:type="dxa"/>
            </w:tcMar>
            <w:vAlign w:val="center"/>
          </w:tcPr>
          <w:p>
            <w:pPr>
              <w:pStyle w:val="Normal"/>
              <w:bidi w:val="0"/>
              <w:jc w:val="left"/>
              <w:rPr/>
            </w:pPr>
            <w:r>
              <w:rPr/>
            </w:r>
          </w:p>
        </w:tc>
        <w:tc>
          <w:tcPr>
            <w:tcW w:w="160" w:type="dxa"/>
            <w:vMerge w:val="continue"/>
            <w:tcBorders>
              <w:bottom w:val="single" w:sz="4" w:space="0" w:color="7855FA"/>
            </w:tcBorders>
            <w:tcMar>
              <w:top w:w="0" w:type="dxa"/>
              <w:left w:w="0" w:type="dxa"/>
              <w:bottom w:w="40" w:type="dxa"/>
              <w:right w:w="0" w:type="dxa"/>
            </w:tcMar>
            <w:vAlign w:val="center"/>
          </w:tcPr>
          <w:p>
            <w:pPr>
              <w:pStyle w:val="Normal"/>
              <w:bidi w:val="0"/>
              <w:jc w:val="left"/>
              <w:rPr/>
            </w:pPr>
            <w:r>
              <w:rPr/>
            </w:r>
          </w:p>
        </w:tc>
        <w:tc>
          <w:tcPr>
            <w:tcW w:w="1301" w:type="dxa"/>
            <w:vMerge w:val="continue"/>
            <w:tcBorders>
              <w:bottom w:val="single" w:sz="4" w:space="0" w:color="7855FA"/>
            </w:tcBorders>
            <w:tcMar>
              <w:top w:w="0" w:type="dxa"/>
              <w:left w:w="0" w:type="dxa"/>
              <w:bottom w:w="40" w:type="dxa"/>
              <w:right w:w="0" w:type="dxa"/>
            </w:tcMar>
            <w:vAlign w:val="center"/>
          </w:tcPr>
          <w:p>
            <w:pPr>
              <w:pStyle w:val="Normal"/>
              <w:bidi w:val="0"/>
              <w:jc w:val="left"/>
              <w:rPr/>
            </w:pPr>
            <w:r>
              <w:rPr/>
            </w:r>
          </w:p>
        </w:tc>
        <w:tc>
          <w:tcPr>
            <w:tcW w:w="160" w:type="dxa"/>
            <w:tcBorders>
              <w:bottom w:val="single" w:sz="4" w:space="0" w:color="7855FA"/>
            </w:tcBorders>
            <w:tcMar>
              <w:top w:w="0" w:type="dxa"/>
              <w:left w:w="0" w:type="dxa"/>
              <w:bottom w:w="40" w:type="dxa"/>
              <w:right w:w="0" w:type="dxa"/>
            </w:tcMar>
            <w:vAlign w:val="center"/>
          </w:tcPr>
          <w:p>
            <w:pPr>
              <w:pStyle w:val="TableContents"/>
              <w:bidi w:val="0"/>
              <w:spacing w:before="40" w:after="283"/>
              <w:ind w:left="0" w:right="0" w:firstLine="14"/>
              <w:jc w:val="left"/>
              <w:rPr/>
            </w:pPr>
            <w:r>
              <w:rPr/>
              <w:t> </w:t>
            </w:r>
          </w:p>
        </w:tc>
        <w:tc>
          <w:tcPr>
            <w:tcW w:w="3158" w:type="dxa"/>
            <w:tcBorders>
              <w:bottom w:val="single" w:sz="4" w:space="0" w:color="7855FA"/>
            </w:tcBorders>
            <w:tcMar>
              <w:top w:w="0" w:type="dxa"/>
              <w:left w:w="0" w:type="dxa"/>
              <w:bottom w:w="40" w:type="dxa"/>
              <w:right w:w="0" w:type="dxa"/>
            </w:tcMar>
            <w:vAlign w:val="center"/>
          </w:tcPr>
          <w:p>
            <w:pPr>
              <w:pStyle w:val="TableContents"/>
              <w:bidi w:val="0"/>
              <w:spacing w:before="40" w:after="283"/>
              <w:ind w:left="14" w:right="0" w:firstLine="14"/>
              <w:jc w:val="left"/>
              <w:rPr>
                <w:rFonts w:ascii="Montserrat;sans-serif" w:hAnsi="Montserrat;sans-serif"/>
                <w:color w:val="000000"/>
                <w:sz w:val="18"/>
              </w:rPr>
            </w:pPr>
            <w:r>
              <w:rPr>
                <w:rFonts w:ascii="Montserrat;sans-serif" w:hAnsi="Montserrat;sans-serif"/>
                <w:color w:val="000000"/>
                <w:sz w:val="18"/>
              </w:rPr>
              <w:t>More than 113% of Target</w:t>
            </w:r>
          </w:p>
        </w:tc>
        <w:tc>
          <w:tcPr>
            <w:tcW w:w="160" w:type="dxa"/>
            <w:tcBorders>
              <w:bottom w:val="single" w:sz="4" w:space="0" w:color="7855FA"/>
            </w:tcBorders>
            <w:tcMar>
              <w:top w:w="0" w:type="dxa"/>
              <w:left w:w="0" w:type="dxa"/>
              <w:bottom w:w="40" w:type="dxa"/>
              <w:right w:w="0" w:type="dxa"/>
            </w:tcMar>
            <w:vAlign w:val="center"/>
          </w:tcPr>
          <w:p>
            <w:pPr>
              <w:pStyle w:val="TableContents"/>
              <w:bidi w:val="0"/>
              <w:spacing w:before="40" w:after="283"/>
              <w:ind w:left="0" w:right="0" w:firstLine="14"/>
              <w:jc w:val="left"/>
              <w:rPr/>
            </w:pPr>
            <w:r>
              <w:rPr/>
              <w:t> </w:t>
            </w:r>
          </w:p>
        </w:tc>
        <w:tc>
          <w:tcPr>
            <w:tcW w:w="2366" w:type="dxa"/>
            <w:tcBorders>
              <w:bottom w:val="single" w:sz="4" w:space="0" w:color="7855FA"/>
            </w:tcBorders>
            <w:tcMar>
              <w:top w:w="0" w:type="dxa"/>
              <w:left w:w="0" w:type="dxa"/>
              <w:bottom w:w="40" w:type="dxa"/>
              <w:right w:w="0" w:type="dxa"/>
            </w:tcMar>
            <w:vAlign w:val="center"/>
          </w:tcPr>
          <w:p>
            <w:pPr>
              <w:pStyle w:val="TableContents"/>
              <w:bidi w:val="0"/>
              <w:spacing w:before="40" w:after="283"/>
              <w:ind w:left="14" w:right="0" w:firstLine="14"/>
              <w:jc w:val="left"/>
              <w:rPr>
                <w:rFonts w:ascii="Montserrat;sans-serif" w:hAnsi="Montserrat;sans-serif"/>
                <w:color w:val="000000"/>
                <w:sz w:val="18"/>
              </w:rPr>
            </w:pPr>
            <w:r>
              <w:rPr>
                <w:rFonts w:ascii="Montserrat;sans-serif" w:hAnsi="Montserrat;sans-serif"/>
                <w:color w:val="000000"/>
                <w:sz w:val="18"/>
              </w:rPr>
              <w:t>200%</w:t>
            </w:r>
          </w:p>
        </w:tc>
      </w:tr>
    </w:tbl>
    <w:p>
      <w:pPr>
        <w:pStyle w:val="TextBody"/>
        <w:bidi w:val="0"/>
        <w:jc w:val="both"/>
        <w:rPr/>
      </w:pPr>
      <w:r>
        <w:rPr/>
        <w:t> </w:t>
      </w:r>
    </w:p>
    <w:p>
      <w:pPr>
        <w:pStyle w:val="TextBody"/>
        <w:bidi w:val="0"/>
        <w:jc w:val="both"/>
        <w:rPr/>
      </w:pPr>
      <w:r>
        <w:rPr/>
        <w:t> </w:t>
      </w:r>
    </w:p>
    <w:p>
      <w:pPr>
        <w:pStyle w:val="TextBody"/>
        <w:bidi w:val="0"/>
        <w:jc w:val="both"/>
        <w:rPr>
          <w:rFonts w:ascii="Montserrat;sans-serif" w:hAnsi="Montserrat;sans-serif"/>
          <w:color w:val="000000"/>
          <w:sz w:val="18"/>
        </w:rPr>
      </w:pPr>
      <w:r>
        <w:rPr>
          <w:rFonts w:ascii="Montserrat;sans-serif" w:hAnsi="Montserrat;sans-serif"/>
          <w:color w:val="000000"/>
          <w:sz w:val="18"/>
        </w:rPr>
        <w:t>The specific targets for ARR and non-GAAP operating income were derived from our internal annual operating plan, which is not publicly disclosed for competitive reasons. With respect to each performance metric, the target achievement level was set at a level that the Compensation Committee believed was rigorous and would require stretch performance that would drive stockholder value creation if achieved. If actual achievement falls between the levels of performance outlined above, the payout is determined using linear interpolation.</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301"/>
        <w:gridCol w:w="2671"/>
      </w:tblGrid>
      <w:tr>
        <w:trPr/>
        <w:tc>
          <w:tcPr>
            <w:tcW w:w="30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46</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189"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78" descr=""/>
                          <pic:cNvPicPr>
                            <a:picLocks noChangeAspect="1" noChangeArrowheads="1"/>
                          </pic:cNvPicPr>
                        </pic:nvPicPr>
                        <pic:blipFill>
                          <a:blip r:embed="rId182"/>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rFonts w:ascii="Montserrat;sans-serif" w:hAnsi="Montserrat;sans-serif"/>
          <w:color w:val="000000"/>
          <w:sz w:val="13"/>
        </w:rPr>
      </w:pPr>
      <w:r>
        <w:rPr>
          <w:rFonts w:ascii="Montserrat;sans-serif" w:hAnsi="Montserrat;sans-serif"/>
          <w:color w:val="000000"/>
          <w:sz w:val="13"/>
        </w:rPr>
        <w:t>Executive Compensation</w:t>
      </w:r>
    </w:p>
    <w:p>
      <w:pPr>
        <w:pStyle w:val="TextBody"/>
        <w:bidi w:val="0"/>
        <w:spacing w:before="60" w:after="283"/>
        <w:jc w:val="right"/>
        <w:rPr>
          <w:rFonts w:ascii="Montserrat;sans-serif" w:hAnsi="Montserrat;sans-serif"/>
          <w:color w:val="000000"/>
          <w:sz w:val="12"/>
        </w:rPr>
      </w:pPr>
      <w:r>
        <w:rPr>
          <w:rFonts w:ascii="Montserrat;sans-serif" w:hAnsi="Montserrat;sans-serif"/>
          <w:color w:val="000000"/>
          <w:sz w:val="12"/>
        </w:rPr>
        <w:t>Compensation Discussion and Analysis</w:t>
      </w:r>
    </w:p>
    <w:p>
      <w:pPr>
        <w:pStyle w:val="TextBody"/>
        <w:bidi w:val="0"/>
        <w:jc w:val="right"/>
        <w:rPr/>
      </w:pPr>
      <w:r>
        <w:rPr/>
        <w:t> </w:t>
      </w:r>
    </w:p>
    <w:p>
      <w:pPr>
        <w:pStyle w:val="TextBody"/>
        <w:bidi w:val="0"/>
        <w:jc w:val="right"/>
        <w:rPr/>
      </w:pPr>
      <w:r>
        <w:rPr/>
        <w:t> </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Fiscal Year 2026 Executive Incentive Compensation Plan Results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achievement of each performance metric and the resulting weighted payout percentage under the fiscal year 2026 Executive Incentive Compensation Plan was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63"/>
        <w:gridCol w:w="146"/>
        <w:gridCol w:w="3000"/>
        <w:gridCol w:w="146"/>
        <w:gridCol w:w="974"/>
        <w:gridCol w:w="146"/>
        <w:gridCol w:w="1171"/>
        <w:gridCol w:w="146"/>
        <w:gridCol w:w="1613"/>
      </w:tblGrid>
      <w:tr>
        <w:trPr/>
        <w:tc>
          <w:tcPr>
            <w:tcW w:w="28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r>
      <w:tr>
        <w:trPr/>
        <w:tc>
          <w:tcPr>
            <w:tcW w:w="28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6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Montserrat;sans-serif" w:hAnsi="Montserrat;sans-serif"/>
                <w:b/>
                <w:color w:val="7855FA"/>
                <w:sz w:val="18"/>
              </w:rPr>
            </w:pPr>
            <w:r>
              <w:rPr>
                <w:rFonts w:ascii="Montserrat;sans-serif" w:hAnsi="Montserrat;sans-serif"/>
                <w:b/>
                <w:color w:val="7855FA"/>
                <w:sz w:val="18"/>
              </w:rPr>
              <w:t>Performance Metric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00"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8"/>
              </w:rPr>
            </w:pPr>
            <w:r>
              <w:rPr>
                <w:rFonts w:ascii="Montserrat;sans-serif" w:hAnsi="Montserrat;sans-serif"/>
                <w:b/>
                <w:color w:val="7855FA"/>
                <w:sz w:val="18"/>
              </w:rPr>
              <w:t>Achievement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8"/>
              </w:rPr>
            </w:pPr>
            <w:r>
              <w:rPr>
                <w:rFonts w:ascii="Montserrat;sans-serif" w:hAnsi="Montserrat;sans-serif"/>
                <w:b/>
                <w:color w:val="7855FA"/>
                <w:sz w:val="18"/>
              </w:rPr>
              <w:t>Payout%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8"/>
              </w:rPr>
            </w:pPr>
            <w:r>
              <w:rPr>
                <w:rFonts w:ascii="Montserrat;sans-serif" w:hAnsi="Montserrat;sans-serif"/>
                <w:b/>
                <w:color w:val="7855FA"/>
                <w:sz w:val="18"/>
              </w:rPr>
              <w:t>Weighting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3"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8"/>
              </w:rPr>
            </w:pPr>
            <w:r>
              <w:rPr>
                <w:rFonts w:ascii="Montserrat;sans-serif" w:hAnsi="Montserrat;sans-serif"/>
                <w:b/>
                <w:color w:val="7855FA"/>
                <w:sz w:val="18"/>
              </w:rPr>
              <w:t>Weighted Total</w:t>
            </w:r>
          </w:p>
        </w:tc>
      </w:tr>
      <w:tr>
        <w:trPr/>
        <w:tc>
          <w:tcPr>
            <w:tcW w:w="2863"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3000"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974"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613"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286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ARR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0"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Between 100% and 105% of Target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rFonts w:ascii="Montserrat;sans-serif" w:hAnsi="Montserrat;sans-serif"/>
                <w:color w:val="000000"/>
                <w:sz w:val="18"/>
              </w:rPr>
            </w:pPr>
            <w:r>
              <w:rPr>
                <w:rFonts w:ascii="Montserrat;sans-serif" w:hAnsi="Montserrat;sans-serif"/>
                <w:color w:val="000000"/>
                <w:sz w:val="18"/>
              </w:rPr>
              <w:t>67.1%</w:t>
            </w:r>
          </w:p>
        </w:tc>
      </w:tr>
      <w:tr>
        <w:trPr/>
        <w:tc>
          <w:tcPr>
            <w:tcW w:w="286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2863" w:type="dxa"/>
            <w:tcBorders/>
            <w:shd w:fill="FFFFFF" w:val="clear"/>
            <w:tcMar>
              <w:top w:w="0" w:type="dxa"/>
              <w:left w:w="0" w:type="dxa"/>
              <w:bottom w:w="0" w:type="dxa"/>
              <w:right w:w="0" w:type="dxa"/>
            </w:tcMar>
            <w:vAlign w:val="center"/>
          </w:tcPr>
          <w:p>
            <w:pPr>
              <w:pStyle w:val="TableContents"/>
              <w:bidi w:val="0"/>
              <w:spacing w:before="0" w:after="283"/>
              <w:ind w:left="2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6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Non-GAAP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0"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Between 87% and 100% of Target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93.2%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rFonts w:ascii="Montserrat;sans-serif" w:hAnsi="Montserrat;sans-serif"/>
                <w:color w:val="000000"/>
                <w:sz w:val="18"/>
              </w:rPr>
            </w:pPr>
            <w:r>
              <w:rPr>
                <w:rFonts w:ascii="Montserrat;sans-serif" w:hAnsi="Montserrat;sans-serif"/>
                <w:color w:val="000000"/>
                <w:sz w:val="18"/>
              </w:rPr>
              <w:t>32.6%</w:t>
            </w:r>
          </w:p>
        </w:tc>
      </w:tr>
      <w:tr>
        <w:trPr/>
        <w:tc>
          <w:tcPr>
            <w:tcW w:w="286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2863" w:type="dxa"/>
            <w:tcBorders/>
            <w:shd w:fill="FFFFFF" w:val="clear"/>
            <w:tcMar>
              <w:top w:w="0" w:type="dxa"/>
              <w:left w:w="0" w:type="dxa"/>
              <w:bottom w:w="0" w:type="dxa"/>
              <w:right w:w="0" w:type="dxa"/>
            </w:tcMar>
            <w:vAlign w:val="center"/>
          </w:tcPr>
          <w:p>
            <w:pPr>
              <w:pStyle w:val="TableContents"/>
              <w:bidi w:val="0"/>
              <w:spacing w:before="0" w:after="283"/>
              <w:ind w:left="2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446" w:type="dxa"/>
            <w:gridSpan w:val="7"/>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8"/>
              </w:rPr>
            </w:pPr>
            <w:r>
              <w:rPr>
                <w:rFonts w:ascii="Montserrat;sans-serif" w:hAnsi="Montserrat;sans-serif"/>
                <w:b/>
                <w:color w:val="7855FA"/>
                <w:sz w:val="18"/>
              </w:rPr>
              <w:t>TOTAL WEIGHTED ACHIEVEMENT PERCENTAGE: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99.7%</w:t>
            </w:r>
          </w:p>
        </w:tc>
      </w:tr>
      <w:tr>
        <w:trPr/>
        <w:tc>
          <w:tcPr>
            <w:tcW w:w="2863"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3000"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613"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Montserrat;sans-serif" w:hAnsi="Montserrat;sans-serif"/>
          <w:color w:val="000000"/>
          <w:sz w:val="18"/>
        </w:rPr>
      </w:pPr>
      <w:r>
        <w:rPr>
          <w:rFonts w:ascii="Montserrat;sans-serif" w:hAnsi="Montserrat;sans-serif"/>
          <w:color w:val="000000"/>
          <w:sz w:val="18"/>
        </w:rPr>
        <w:t>After considering each executive’s individual performance, the Compensation Committee determined that no adjustment to any NEO’s formulaic payout was necessary. The aggregate payouts received by each NEO under the fiscal year 2026 Executive Incentive Compensation Plan, which were paid during the first quarter of fiscal year 2027, were:</w:t>
      </w:r>
    </w:p>
    <w:p>
      <w:pPr>
        <w:pStyle w:val="TextBody"/>
        <w:bidi w:val="0"/>
        <w:jc w:val="both"/>
        <w:rPr/>
      </w:pPr>
      <w:r>
        <w:rPr/>
        <w:t> </w:t>
      </w:r>
    </w:p>
    <w:tbl>
      <w:tblPr>
        <w:tblW w:w="6560" w:type="dxa"/>
        <w:jc w:val="left"/>
        <w:tblInd w:w="0" w:type="dxa"/>
        <w:tblLayout w:type="fixed"/>
        <w:tblCellMar>
          <w:top w:w="28" w:type="dxa"/>
          <w:left w:w="28" w:type="dxa"/>
          <w:bottom w:w="28" w:type="dxa"/>
          <w:right w:w="28" w:type="dxa"/>
        </w:tblCellMar>
      </w:tblPr>
      <w:tblGrid>
        <w:gridCol w:w="2216"/>
        <w:gridCol w:w="146"/>
        <w:gridCol w:w="251"/>
        <w:gridCol w:w="1534"/>
        <w:gridCol w:w="146"/>
        <w:gridCol w:w="146"/>
        <w:gridCol w:w="257"/>
        <w:gridCol w:w="1573"/>
        <w:gridCol w:w="291"/>
      </w:tblGrid>
      <w:tr>
        <w:trPr/>
        <w:tc>
          <w:tcPr>
            <w:tcW w:w="2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1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Montserrat;sans-serif" w:hAnsi="Montserrat;sans-serif"/>
                <w:b/>
                <w:color w:val="7855FA"/>
                <w:sz w:val="18"/>
              </w:rPr>
            </w:pPr>
            <w:r>
              <w:rPr>
                <w:rFonts w:ascii="Montserrat;sans-serif" w:hAnsi="Montserrat;sans-serif"/>
                <w:b/>
                <w:color w:val="7855FA"/>
                <w:sz w:val="18"/>
              </w:rPr>
              <w:t>NEO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8"/>
              </w:rPr>
            </w:pPr>
            <w:r>
              <w:rPr>
                <w:rFonts w:ascii="Montserrat;sans-serif" w:hAnsi="Montserrat;sans-serif"/>
                <w:b/>
                <w:color w:val="7855FA"/>
                <w:sz w:val="18"/>
              </w:rPr>
              <w:t>FY2026</w:t>
              <w:br/>
              <w:t>Incentive Target</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8"/>
              </w:rPr>
            </w:pPr>
            <w:r>
              <w:rPr>
                <w:rFonts w:ascii="Montserrat;sans-serif" w:hAnsi="Montserrat;sans-serif"/>
                <w:b/>
                <w:color w:val="7855FA"/>
                <w:sz w:val="18"/>
              </w:rPr>
              <w:t>FY2026</w:t>
              <w:br/>
              <w:t>Incentive Payout</w:t>
              <w:b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2216"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785"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830"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22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Rajiv Ramaswami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800,000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797,600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Rukmini Sivaraman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520,000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518,440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Brian Martin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356,250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355,181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16"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Tarkan Maner</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534"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337,500</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573"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336,488</w:t>
            </w:r>
          </w:p>
        </w:tc>
        <w:tc>
          <w:tcPr>
            <w:tcW w:w="29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80" w:after="283"/>
        <w:jc w:val="left"/>
        <w:rPr>
          <w:rFonts w:ascii="Montserrat;Montserrat Medium;sans-serif" w:hAnsi="Montserrat;Montserrat Medium;sans-serif"/>
          <w:b/>
          <w:color w:val="7855FA"/>
          <w:sz w:val="22"/>
        </w:rPr>
      </w:pPr>
      <w:r>
        <w:rPr>
          <w:rFonts w:ascii="Montserrat;Montserrat Medium;sans-serif" w:hAnsi="Montserrat;Montserrat Medium;sans-serif"/>
          <w:b/>
          <w:color w:val="7855FA"/>
          <w:sz w:val="22"/>
        </w:rPr>
        <w:t>Long-Term Equity-Based Compensation</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Our corporate culture encourages our NEOs to focus on our company’s long-term business strategy. In keeping with this culture, our executive compensation program places a heavy emphasis on equity awards, the value of which depends on our stock price performance, to promote long-term performance. These equity awards include both RSU awards and performance-based PRSU awards. RSU awards offer our NEOs a fixed number of shares that vest over time, aligning their interests, and the value ultimately realized, with the long-term interests of our stockholders. We believe PRSU awards directly link a significant portion of the NEO’s target total direct compensation to our performance based on the returns we deliver for our stockholders relative to those of companies in the Nasdaq Composite Index.</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The Compensation Committee, in consultation with our CEO (other than with respect to himself) and its compensation consultant, Compensia, determines the size, mix, material terms and, in the case of PRSU awards, performance metrics of the equity awards granted to our NEOs, taking into account a number of factors as described in the section titled “</w:t>
      </w:r>
      <w:r>
        <w:rPr>
          <w:rFonts w:ascii="Montserrat;sans-serif" w:hAnsi="Montserrat;sans-serif"/>
          <w:color w:val="7855FA"/>
          <w:sz w:val="18"/>
        </w:rPr>
        <w:t>Executive Compensation – Compensation Discussion and Analysis – Compensation-Setting Process.</w:t>
      </w:r>
      <w:r>
        <w:rPr>
          <w:rFonts w:ascii="Montserrat;sans-serif" w:hAnsi="Montserrat;sans-serif"/>
          <w:color w:val="000000"/>
          <w:sz w:val="18"/>
        </w:rPr>
        <w:t>”</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Fiscal Year 2026 Equity Awards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 xml:space="preserve">In fiscal year 2026, the Compensation Committee continued its practice of granting PRSUs as a standard component of the equity awards granted to our executive officers in order to align pay with performance and tie their interests to those of our stockholders. PRSUs comprise 50% of each executive officer’s target annual award value. Annual PRSU awards are based on our TSR relative to the TSR of companies in the Nasdaq Composite Index over cumulative one-, two-, and three-year performance periods, with potential interim payouts following the one- and two-year periods. The Compensation Committee selected the Nasdaq Composite Index due to its breadth and large number of constituents, including a significant concentration of technology companies against which we compete for investors and talent. The Compensation Committee believes these characteristics make the index an appropriate benchmark for measuring relative TSR under the current PRSU design. The interim measurement periods allow a portion of the award to be evaluated based on cumulative one- and two-year performance while preserving a significant portion of the award for the final three-year measurement period. The Compensation Committee believes this approach recognizes performance over time while maintaining a long-term focus. To mitigate the influence of interim fluctuations in performance and </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2641"/>
        <w:gridCol w:w="331"/>
      </w:tblGrid>
      <w:tr>
        <w:trPr/>
        <w:tc>
          <w:tcPr>
            <w:tcW w:w="26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190"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79" descr=""/>
                          <pic:cNvPicPr>
                            <a:picLocks noChangeAspect="1" noChangeArrowheads="1"/>
                          </pic:cNvPicPr>
                        </pic:nvPicPr>
                        <pic:blipFill>
                          <a:blip r:embed="rId183"/>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3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47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rFonts w:ascii="Montserrat;sans-serif" w:hAnsi="Montserrat;sans-serif"/>
          <w:color w:val="000000"/>
          <w:sz w:val="13"/>
        </w:rPr>
      </w:pPr>
      <w:r>
        <w:rPr>
          <w:rFonts w:ascii="Montserrat;sans-serif" w:hAnsi="Montserrat;sans-serif"/>
          <w:color w:val="000000"/>
          <w:sz w:val="13"/>
        </w:rPr>
        <w:t>Executive Compensation</w:t>
      </w:r>
    </w:p>
    <w:p>
      <w:pPr>
        <w:pStyle w:val="TextBody"/>
        <w:bidi w:val="0"/>
        <w:spacing w:before="60" w:after="283"/>
        <w:jc w:val="left"/>
        <w:rPr>
          <w:rFonts w:ascii="Montserrat;sans-serif" w:hAnsi="Montserrat;sans-serif"/>
          <w:color w:val="000000"/>
          <w:sz w:val="12"/>
        </w:rPr>
      </w:pPr>
      <w:r>
        <w:rPr>
          <w:rFonts w:ascii="Montserrat;sans-serif" w:hAnsi="Montserrat;sans-serif"/>
          <w:color w:val="000000"/>
          <w:sz w:val="12"/>
        </w:rPr>
        <w:t>Compensation Discussion and Analysis</w:t>
      </w:r>
    </w:p>
    <w:p>
      <w:pPr>
        <w:pStyle w:val="TextBody"/>
        <w:bidi w:val="0"/>
        <w:jc w:val="left"/>
        <w:rPr/>
      </w:pPr>
      <w:r>
        <w:rPr/>
        <w:t> </w:t>
      </w:r>
    </w:p>
    <w:p>
      <w:pPr>
        <w:pStyle w:val="TextBody"/>
        <w:bidi w:val="0"/>
        <w:jc w:val="left"/>
        <w:rPr/>
      </w:pPr>
      <w:r>
        <w:rPr/>
        <w:t> </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place greater emphasis on three-year performance, achievement during the first two measurement periods is capped at 100% of target, with the balance of the award remaining subject to the final three-year performance measurement. As a result, above-target payouts can only be earned based on performance over the full three-year period. The Compensation Committee believes relative TSR is a straightforward and objective metric for evaluating our company’s performance against the performance of other companies and aligns realized PRSU value with relative stockholder returns over the performance period. The remaining 50% of each executive officer’s target award value was delivered in RSU awards that vest quarterly over four years.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Compensation Committee considers many factors in determining the value of the annual equity awards made to our NEOs, including, but not limited to: competitive total compensation levels (cash and equity) among peer companies for comparable roles, individual performance, the retention value of current unvested equity holdings of each executive officer, and expected contribution towards the achievement of our short- and long-term goals. In establishing fiscal year 2026 awards for our NEOs, the Compensation Committee took into consideration the strength of their respective performance and leadership, as well as the importance of continuing to provide market-competitive equity opportunities in a dynamic labor market that reflected year-over-year changes in competitive market practices. The equity awards granted in fiscal year 2026 under our Amended and Restated 2016 Equity Incentive Plan were as follows:</w:t>
      </w:r>
    </w:p>
    <w:p>
      <w:pPr>
        <w:pStyle w:val="TextBody"/>
        <w:bidi w:val="0"/>
        <w:jc w:val="both"/>
        <w:rPr/>
      </w:pPr>
      <w:r>
        <w:rPr/>
        <w:t> </w:t>
      </w:r>
    </w:p>
    <w:tbl>
      <w:tblPr>
        <w:tblW w:w="7254" w:type="dxa"/>
        <w:jc w:val="left"/>
        <w:tblInd w:w="0" w:type="dxa"/>
        <w:tblLayout w:type="fixed"/>
        <w:tblCellMar>
          <w:top w:w="28" w:type="dxa"/>
          <w:left w:w="28" w:type="dxa"/>
          <w:bottom w:w="28" w:type="dxa"/>
          <w:right w:w="28" w:type="dxa"/>
        </w:tblCellMar>
      </w:tblPr>
      <w:tblGrid>
        <w:gridCol w:w="2471"/>
        <w:gridCol w:w="146"/>
        <w:gridCol w:w="146"/>
        <w:gridCol w:w="1036"/>
        <w:gridCol w:w="146"/>
        <w:gridCol w:w="146"/>
        <w:gridCol w:w="193"/>
        <w:gridCol w:w="1037"/>
        <w:gridCol w:w="146"/>
        <w:gridCol w:w="146"/>
        <w:gridCol w:w="212"/>
        <w:gridCol w:w="1138"/>
        <w:gridCol w:w="291"/>
      </w:tblGrid>
      <w:tr>
        <w:trPr/>
        <w:tc>
          <w:tcPr>
            <w:tcW w:w="2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7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Montserrat;sans-serif" w:hAnsi="Montserrat;sans-serif"/>
                <w:b/>
                <w:color w:val="7855FA"/>
                <w:sz w:val="16"/>
              </w:rPr>
            </w:pPr>
            <w:r>
              <w:rPr>
                <w:rFonts w:ascii="Montserrat;sans-serif" w:hAnsi="Montserrat;sans-serif"/>
                <w:b/>
                <w:color w:val="7855FA"/>
                <w:sz w:val="16"/>
              </w:rPr>
              <w:t>Named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360" w:before="0" w:after="283"/>
              <w:jc w:val="right"/>
              <w:rPr>
                <w:rFonts w:ascii="Montserrat;sans-serif" w:hAnsi="Montserrat;sans-serif"/>
                <w:sz w:val="16"/>
              </w:rPr>
            </w:pPr>
            <w:r>
              <w:rPr>
                <w:rFonts w:ascii="Montserrat;sans-serif" w:hAnsi="Montserrat;sans-serif"/>
                <w:b/>
                <w:color w:val="7855FA"/>
                <w:sz w:val="16"/>
              </w:rPr>
              <w:t>Target</w:t>
              <w:br/>
              <w:t>Award</w:t>
              <w:br/>
              <w:t>Value</w:t>
            </w:r>
            <w:r>
              <w:rPr>
                <w:rFonts w:ascii="Montserrat;sans-serif" w:hAnsi="Montserrat;sans-serif"/>
                <w:b/>
                <w:color w:val="7855FA"/>
                <w:sz w:val="11"/>
              </w:rPr>
              <w:t>(1)</w:t>
              <w:br/>
            </w:r>
            <w:r>
              <w:rPr>
                <w:rFonts w:ascii="Montserrat;sans-serif" w:hAnsi="Montserrat;sans-serif"/>
                <w:b/>
                <w:color w:val="7855FA"/>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6"/>
              </w:rPr>
            </w:pPr>
            <w:r>
              <w:rPr>
                <w:rFonts w:ascii="Montserrat;sans-serif" w:hAnsi="Montserrat;sans-serif"/>
                <w:b/>
                <w:color w:val="7855FA"/>
                <w:sz w:val="16"/>
              </w:rPr>
              <w:t>RSU Awards</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6"/>
              </w:rPr>
            </w:pPr>
            <w:r>
              <w:rPr>
                <w:rFonts w:ascii="Montserrat;sans-serif" w:hAnsi="Montserrat;sans-serif"/>
                <w:b/>
                <w:color w:val="7855FA"/>
                <w:sz w:val="16"/>
              </w:rPr>
              <w:t>PRSU Awards</w:t>
              <w:br/>
              <w:t>(# at target)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2471"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230"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350"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2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Rajiv Ramaswami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19,500,000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141,283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141,283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Rukmini Sivaraman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7,500,000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54,339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54,339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Brian Martin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4,200,000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30,430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30,430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471"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Tarkan Maner</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4,200,000</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30,430</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30,430</w:t>
            </w:r>
          </w:p>
        </w:tc>
        <w:tc>
          <w:tcPr>
            <w:tcW w:w="29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Montserrat;sans-serif" w:hAnsi="Montserrat;sans-serif"/>
          <w:color w:val="000000"/>
          <w:sz w:val="16"/>
        </w:rPr>
      </w:pPr>
      <w:r>
        <w:rPr>
          <w:rFonts w:ascii="Montserrat;sans-serif" w:hAnsi="Montserrat;sans-serif"/>
          <w:color w:val="000000"/>
          <w:sz w:val="16"/>
        </w:rPr>
        <w:t>(1)</w:t>
      </w:r>
    </w:p>
    <w:p>
      <w:pPr>
        <w:pStyle w:val="TextBody"/>
        <w:bidi w:val="0"/>
        <w:jc w:val="both"/>
        <w:rPr>
          <w:sz w:val="16"/>
        </w:rPr>
      </w:pPr>
      <w:r>
        <w:rPr>
          <w:rFonts w:ascii="Montserrat;sans-serif" w:hAnsi="Montserrat;sans-serif"/>
          <w:color w:val="000000"/>
          <w:sz w:val="16"/>
        </w:rPr>
        <w:t>The target award values are the values approved by the Compensation Committee and are not the same as the grant date fair values calculated in accordance with ASC Topic 718 as reported in the “</w:t>
      </w:r>
      <w:r>
        <w:rPr>
          <w:rFonts w:ascii="Montserrat;sans-serif" w:hAnsi="Montserrat;sans-serif"/>
          <w:color w:val="7855FA"/>
          <w:sz w:val="16"/>
        </w:rPr>
        <w:t>Fiscal Year 2026 Summary Compensation Table</w:t>
      </w:r>
      <w:r>
        <w:rPr>
          <w:color w:val="000000"/>
          <w:sz w:val="16"/>
        </w:rPr>
        <w:t xml:space="preserve">” </w:t>
      </w:r>
      <w:r>
        <w:rPr>
          <w:rFonts w:ascii="Montserrat;sans-serif" w:hAnsi="Montserrat;sans-serif"/>
          <w:color w:val="000000"/>
          <w:sz w:val="16"/>
        </w:rPr>
        <w:t>appearing on page 58</w:t>
      </w:r>
      <w:r>
        <w:rPr>
          <w:color w:val="000000"/>
          <w:sz w:val="16"/>
        </w:rPr>
        <w:t xml:space="preserve"> </w:t>
      </w:r>
      <w:r>
        <w:rPr>
          <w:rFonts w:ascii="Montserrat;sans-serif" w:hAnsi="Montserrat;sans-serif"/>
          <w:color w:val="000000"/>
          <w:sz w:val="16"/>
        </w:rPr>
        <w:t>of this proxy statement. We utilize a 20-day average closing price to convert target award values to restricted stock units and do not incorporate any valuation premium associated with the fair value of our market-based PRSU awards (as determined using a Monte Carlo simulation model).</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Each RSU represents a contingent right to receive one share of our Class A common stock upon vesting.</w:t>
      </w:r>
    </w:p>
    <w:p>
      <w:pPr>
        <w:pStyle w:val="TextBody"/>
        <w:bidi w:val="0"/>
        <w:jc w:val="both"/>
        <w:rPr/>
      </w:pPr>
      <w:r>
        <w:rPr/>
        <w:t> </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301"/>
        <w:gridCol w:w="2671"/>
      </w:tblGrid>
      <w:tr>
        <w:trPr/>
        <w:tc>
          <w:tcPr>
            <w:tcW w:w="30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48</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191"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80" descr=""/>
                          <pic:cNvPicPr>
                            <a:picLocks noChangeAspect="1" noChangeArrowheads="1"/>
                          </pic:cNvPicPr>
                        </pic:nvPicPr>
                        <pic:blipFill>
                          <a:blip r:embed="rId184"/>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rFonts w:ascii="Montserrat;sans-serif" w:hAnsi="Montserrat;sans-serif"/>
          <w:color w:val="000000"/>
          <w:sz w:val="13"/>
        </w:rPr>
      </w:pPr>
      <w:r>
        <w:rPr>
          <w:rFonts w:ascii="Montserrat;sans-serif" w:hAnsi="Montserrat;sans-serif"/>
          <w:color w:val="000000"/>
          <w:sz w:val="13"/>
        </w:rPr>
        <w:t>Executive Compensation</w:t>
      </w:r>
    </w:p>
    <w:p>
      <w:pPr>
        <w:pStyle w:val="TextBody"/>
        <w:bidi w:val="0"/>
        <w:spacing w:before="60" w:after="283"/>
        <w:jc w:val="right"/>
        <w:rPr>
          <w:rFonts w:ascii="Montserrat;sans-serif" w:hAnsi="Montserrat;sans-serif"/>
          <w:color w:val="000000"/>
          <w:sz w:val="12"/>
        </w:rPr>
      </w:pPr>
      <w:r>
        <w:rPr>
          <w:rFonts w:ascii="Montserrat;sans-serif" w:hAnsi="Montserrat;sans-serif"/>
          <w:color w:val="000000"/>
          <w:sz w:val="12"/>
        </w:rPr>
        <w:t>Compensation Discussion and Analysis</w:t>
      </w:r>
    </w:p>
    <w:p>
      <w:pPr>
        <w:pStyle w:val="TextBody"/>
        <w:bidi w:val="0"/>
        <w:jc w:val="right"/>
        <w:rPr/>
      </w:pPr>
      <w:r>
        <w:rPr/>
        <w:t> </w:t>
      </w:r>
    </w:p>
    <w:p>
      <w:pPr>
        <w:pStyle w:val="TextBody"/>
        <w:bidi w:val="0"/>
        <w:jc w:val="right"/>
        <w:rPr/>
      </w:pPr>
      <w:r>
        <w:rPr/>
        <w:t> </w:t>
      </w:r>
    </w:p>
    <w:p>
      <w:pPr>
        <w:pStyle w:val="TextBody"/>
        <w:bidi w:val="0"/>
        <w:jc w:val="both"/>
        <w:rPr>
          <w:rFonts w:ascii="Montserrat;sans-serif" w:hAnsi="Montserrat;sans-serif"/>
          <w:color w:val="000000"/>
          <w:sz w:val="18"/>
        </w:rPr>
      </w:pPr>
      <w:r>
        <w:rPr>
          <w:rFonts w:ascii="Montserrat;sans-serif" w:hAnsi="Montserrat;sans-serif"/>
          <w:color w:val="000000"/>
          <w:sz w:val="18"/>
        </w:rPr>
        <w:t>The elements of the annual equity awards granted to our NEOs for fiscal year 2026 are as follows:</w:t>
      </w:r>
    </w:p>
    <w:p>
      <w:pPr>
        <w:pStyle w:val="TextBody"/>
        <w:bidi w:val="0"/>
        <w:jc w:val="both"/>
        <w:rPr/>
      </w:pPr>
      <w:r>
        <w:rPr/>
        <w:t> </w:t>
      </w:r>
    </w:p>
    <w:p>
      <w:pPr>
        <w:pStyle w:val="TextBody"/>
        <w:bidi w:val="0"/>
        <w:jc w:val="center"/>
        <w:rPr/>
      </w:pPr>
      <w:r>
        <w:rPr/>
        <w:drawing>
          <wp:inline distT="0" distB="0" distL="0" distR="0">
            <wp:extent cx="6858000" cy="5314950"/>
            <wp:effectExtent l="0" t="0" r="0" b="0"/>
            <wp:docPr id="192"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81" descr=""/>
                    <pic:cNvPicPr>
                      <a:picLocks noChangeAspect="1" noChangeArrowheads="1"/>
                    </pic:cNvPicPr>
                  </pic:nvPicPr>
                  <pic:blipFill>
                    <a:blip r:embed="rId185"/>
                    <a:stretch>
                      <a:fillRect/>
                    </a:stretch>
                  </pic:blipFill>
                  <pic:spPr bwMode="auto">
                    <a:xfrm>
                      <a:off x="0" y="0"/>
                      <a:ext cx="6858000" cy="5314950"/>
                    </a:xfrm>
                    <a:prstGeom prst="rect">
                      <a:avLst/>
                    </a:prstGeom>
                  </pic:spPr>
                </pic:pic>
              </a:graphicData>
            </a:graphic>
          </wp:inline>
        </w:drawing>
      </w:r>
    </w:p>
    <w:p>
      <w:pPr>
        <w:pStyle w:val="TextBody"/>
        <w:bidi w:val="0"/>
        <w:jc w:val="both"/>
        <w:rPr/>
      </w:pPr>
      <w:r>
        <w:rPr/>
        <w:t> </w:t>
      </w:r>
    </w:p>
    <w:p>
      <w:pPr>
        <w:pStyle w:val="TextBody"/>
        <w:bidi w:val="0"/>
        <w:jc w:val="both"/>
        <w:rPr/>
      </w:pPr>
      <w:r>
        <w:rPr/>
        <w:t> </w:t>
      </w:r>
    </w:p>
    <w:p>
      <w:pPr>
        <w:pStyle w:val="TextBody"/>
        <w:bidi w:val="0"/>
        <w:spacing w:before="120" w:after="283"/>
        <w:jc w:val="both"/>
        <w:rPr>
          <w:rFonts w:ascii="Times New Roman" w:hAnsi="Times New Roman"/>
          <w:color w:val="FFFFFF"/>
          <w:sz w:val="2"/>
        </w:rPr>
      </w:pPr>
      <w:r>
        <w:rPr>
          <w:rFonts w:ascii="Times New Roman" w:hAnsi="Times New Roman"/>
          <w:color w:val="FFFFFF"/>
          <w:sz w:val="2"/>
        </w:rPr>
        <w:t xml:space="preserve">50% RSUs RSUs vest quarterly over four years, subject to continued service through each vesting date. Grant 1 Year 2 Years 3 Years 4 Years50% PRSUs PRSU awards become eligible to vest based on the TSR of our company relative to the TSR of companies in the Nasdaq Composite Index over three fiscal years with interim measurements and potential payouts after one year and two years. Vesting occurs on September 15th following the end of the performance period, subject to continued service. TSR vs Nasdaq Composite Index Potential Payout: Grant 1 Year 2 Years 3 Year Capped at 33.3% of target FY 2026Capped at 33.3% of target FY 2026-2027Capped at 200.0% of target FY 2026-2028(less any awards earned in prior two periods)TSR Performance Goals Percentile Rank Payout Maximum 75th Percentiles 200% Target 50th Percentiles 100%Threshold 25th Percentiles 50%Below Threshold 25th Percentiles 0%For TSR ranking between these performance goals, the payout percentage is determined using linear interpolation. </w:t>
      </w:r>
    </w:p>
    <w:p>
      <w:pPr>
        <w:pStyle w:val="TextBody"/>
        <w:bidi w:val="0"/>
        <w:jc w:val="both"/>
        <w:rPr/>
      </w:pPr>
      <w:r>
        <w:rPr/>
        <w:t> </w:t>
      </w:r>
    </w:p>
    <w:p>
      <w:pPr>
        <w:pStyle w:val="TextBody"/>
        <w:bidi w:val="0"/>
        <w:jc w:val="both"/>
        <w:rPr/>
      </w:pPr>
      <w:r>
        <w:rPr/>
        <w:t> </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2641"/>
        <w:gridCol w:w="331"/>
      </w:tblGrid>
      <w:tr>
        <w:trPr/>
        <w:tc>
          <w:tcPr>
            <w:tcW w:w="26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193"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82" descr=""/>
                          <pic:cNvPicPr>
                            <a:picLocks noChangeAspect="1" noChangeArrowheads="1"/>
                          </pic:cNvPicPr>
                        </pic:nvPicPr>
                        <pic:blipFill>
                          <a:blip r:embed="rId186"/>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3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49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rFonts w:ascii="Montserrat;sans-serif" w:hAnsi="Montserrat;sans-serif"/>
          <w:color w:val="000000"/>
          <w:sz w:val="13"/>
        </w:rPr>
      </w:pPr>
      <w:r>
        <w:rPr>
          <w:rFonts w:ascii="Montserrat;sans-serif" w:hAnsi="Montserrat;sans-serif"/>
          <w:color w:val="000000"/>
          <w:sz w:val="13"/>
        </w:rPr>
        <w:t>Executive Compensation</w:t>
      </w:r>
    </w:p>
    <w:p>
      <w:pPr>
        <w:pStyle w:val="TextBody"/>
        <w:bidi w:val="0"/>
        <w:spacing w:before="60" w:after="283"/>
        <w:jc w:val="left"/>
        <w:rPr>
          <w:rFonts w:ascii="Montserrat;sans-serif" w:hAnsi="Montserrat;sans-serif"/>
          <w:color w:val="000000"/>
          <w:sz w:val="12"/>
        </w:rPr>
      </w:pPr>
      <w:r>
        <w:rPr>
          <w:rFonts w:ascii="Montserrat;sans-serif" w:hAnsi="Montserrat;sans-serif"/>
          <w:color w:val="000000"/>
          <w:sz w:val="12"/>
        </w:rPr>
        <w:t>Compensation Discussion and Analysis</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PRSU Performance Results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table below details the final results achieved for PRSU awards granted to our executive officers in fiscal year 2024 and interim results for PRSUs granted in 2025 and 2026.</w:t>
      </w:r>
    </w:p>
    <w:p>
      <w:pPr>
        <w:pStyle w:val="TextBody"/>
        <w:bidi w:val="0"/>
        <w:jc w:val="both"/>
        <w:rPr/>
      </w:pPr>
      <w:r>
        <w:rPr/>
        <w:t> </w:t>
      </w:r>
    </w:p>
    <w:tbl>
      <w:tblPr>
        <w:tblW w:w="7281" w:type="dxa"/>
        <w:jc w:val="left"/>
        <w:tblInd w:w="0" w:type="dxa"/>
        <w:tblLayout w:type="fixed"/>
        <w:tblCellMar>
          <w:top w:w="28" w:type="dxa"/>
          <w:left w:w="28" w:type="dxa"/>
          <w:bottom w:w="28" w:type="dxa"/>
          <w:right w:w="28" w:type="dxa"/>
        </w:tblCellMar>
      </w:tblPr>
      <w:tblGrid>
        <w:gridCol w:w="3251"/>
        <w:gridCol w:w="146"/>
        <w:gridCol w:w="906"/>
        <w:gridCol w:w="176"/>
        <w:gridCol w:w="1286"/>
        <w:gridCol w:w="176"/>
        <w:gridCol w:w="1340"/>
      </w:tblGrid>
      <w:tr>
        <w:trPr/>
        <w:tc>
          <w:tcPr>
            <w:tcW w:w="3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r>
      <w:tr>
        <w:trPr/>
        <w:tc>
          <w:tcPr>
            <w:tcW w:w="3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4" w:type="dxa"/>
            <w:gridSpan w:val="5"/>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Montserrat;sans-serif" w:hAnsi="Montserrat;sans-serif"/>
                <w:sz w:val="16"/>
              </w:rPr>
            </w:pPr>
            <w:r>
              <w:rPr>
                <w:rFonts w:ascii="Montserrat;sans-serif" w:hAnsi="Montserrat;sans-serif"/>
                <w:b/>
                <w:color w:val="7855FA"/>
                <w:sz w:val="16"/>
              </w:rPr>
              <w:t>FY24-FY26 PRSU Performance Results</w:t>
            </w:r>
            <w:r>
              <w:rPr>
                <w:rFonts w:ascii="Montserrat;sans-serif" w:hAnsi="Montserrat;sans-serif"/>
                <w:b/>
                <w:color w:val="7855FA"/>
                <w:sz w:val="11"/>
              </w:rPr>
              <w:t>(1)</w:t>
            </w:r>
          </w:p>
        </w:tc>
      </w:tr>
      <w:tr>
        <w:trPr/>
        <w:tc>
          <w:tcPr>
            <w:tcW w:w="32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6" w:type="dxa"/>
            <w:tcBorders/>
            <w:shd w:fill="FFFFFF" w:val="clear"/>
            <w:tcMar>
              <w:top w:w="0" w:type="dxa"/>
              <w:left w:w="0" w:type="dxa"/>
              <w:bottom w:w="0" w:type="dxa"/>
              <w:right w:w="0" w:type="dxa"/>
            </w:tcMar>
            <w:vAlign w:val="center"/>
          </w:tcPr>
          <w:p>
            <w:pPr>
              <w:pStyle w:val="TableContents"/>
              <w:bidi w:val="0"/>
              <w:spacing w:lineRule="auto" w:line="360" w:before="0" w:after="283"/>
              <w:jc w:val="right"/>
              <w:rPr>
                <w:rFonts w:ascii="Montserrat Medium;sans-serif" w:hAnsi="Montserrat Medium;sans-serif"/>
                <w:sz w:val="16"/>
              </w:rPr>
            </w:pPr>
            <w:r>
              <w:rPr>
                <w:rFonts w:ascii="Montserrat;Montserrat Medium;sans-serif" w:hAnsi="Montserrat;Montserrat Medium;sans-serif"/>
                <w:b/>
                <w:color w:val="7855FA"/>
                <w:sz w:val="16"/>
              </w:rPr>
              <w:t>FY24</w:t>
            </w:r>
            <w:r>
              <w:rPr>
                <w:rFonts w:ascii="Montserrat;Montserrat Medium;sans-serif" w:hAnsi="Montserrat;Montserrat Medium;sans-serif"/>
                <w:b/>
                <w:color w:val="7855FA"/>
                <w:sz w:val="11"/>
              </w:rPr>
              <w:t>(2)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6" w:type="dxa"/>
            <w:tcBorders/>
            <w:shd w:fill="FFFFFF" w:val="clear"/>
            <w:tcMar>
              <w:top w:w="0" w:type="dxa"/>
              <w:left w:w="0" w:type="dxa"/>
              <w:bottom w:w="0" w:type="dxa"/>
              <w:right w:w="0" w:type="dxa"/>
            </w:tcMar>
            <w:vAlign w:val="center"/>
          </w:tcPr>
          <w:p>
            <w:pPr>
              <w:pStyle w:val="TableContents"/>
              <w:bidi w:val="0"/>
              <w:spacing w:lineRule="auto" w:line="360" w:before="0" w:after="283"/>
              <w:jc w:val="right"/>
              <w:rPr>
                <w:rFonts w:ascii="Montserrat Medium;sans-serif" w:hAnsi="Montserrat Medium;sans-serif"/>
                <w:sz w:val="16"/>
              </w:rPr>
            </w:pPr>
            <w:r>
              <w:rPr>
                <w:rFonts w:ascii="Montserrat;Montserrat Medium;sans-serif" w:hAnsi="Montserrat;Montserrat Medium;sans-serif"/>
                <w:b/>
                <w:color w:val="7855FA"/>
                <w:sz w:val="16"/>
              </w:rPr>
              <w:t>FY24-25</w:t>
            </w:r>
            <w:r>
              <w:rPr>
                <w:rFonts w:ascii="Montserrat;Montserrat Medium;sans-serif" w:hAnsi="Montserrat;Montserrat Medium;sans-serif"/>
                <w:b/>
                <w:color w:val="7855FA"/>
                <w:sz w:val="11"/>
              </w:rPr>
              <w:t>(2)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40" w:type="dxa"/>
            <w:tcBorders/>
            <w:shd w:fill="FFFFFF" w:val="clear"/>
            <w:tcMar>
              <w:top w:w="0" w:type="dxa"/>
              <w:left w:w="0" w:type="dxa"/>
              <w:bottom w:w="0" w:type="dxa"/>
              <w:right w:w="0" w:type="dxa"/>
            </w:tcMar>
            <w:vAlign w:val="center"/>
          </w:tcPr>
          <w:p>
            <w:pPr>
              <w:pStyle w:val="TableContents"/>
              <w:bidi w:val="0"/>
              <w:spacing w:lineRule="auto" w:line="360" w:before="0" w:after="283"/>
              <w:jc w:val="right"/>
              <w:rPr>
                <w:rFonts w:ascii="Montserrat Medium;sans-serif" w:hAnsi="Montserrat Medium;sans-serif"/>
                <w:sz w:val="16"/>
              </w:rPr>
            </w:pPr>
            <w:r>
              <w:rPr>
                <w:rFonts w:ascii="Montserrat;Montserrat Medium;sans-serif" w:hAnsi="Montserrat;Montserrat Medium;sans-serif"/>
                <w:b/>
                <w:color w:val="7855FA"/>
                <w:sz w:val="16"/>
              </w:rPr>
              <w:t>FY24-26</w:t>
            </w:r>
            <w:r>
              <w:rPr>
                <w:rFonts w:ascii="Montserrat;Montserrat Medium;sans-serif" w:hAnsi="Montserrat;Montserrat Medium;sans-serif"/>
                <w:b/>
                <w:color w:val="7855FA"/>
                <w:sz w:val="11"/>
              </w:rPr>
              <w:t>(2)</w:t>
            </w:r>
          </w:p>
        </w:tc>
      </w:tr>
      <w:tr>
        <w:trPr/>
        <w:tc>
          <w:tcPr>
            <w:tcW w:w="325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90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28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340"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32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Nutanix TSR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85.1%</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159.4%</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rFonts w:ascii="Montserrat;sans-serif" w:hAnsi="Montserrat;sans-serif"/>
                <w:color w:val="000000"/>
                <w:sz w:val="17"/>
              </w:rPr>
            </w:pPr>
            <w:r>
              <w:rPr>
                <w:rFonts w:ascii="Montserrat;sans-serif" w:hAnsi="Montserrat;sans-serif"/>
                <w:color w:val="000000"/>
                <w:sz w:val="17"/>
              </w:rPr>
              <w:t>82.7%</w:t>
            </w:r>
          </w:p>
        </w:tc>
      </w:tr>
      <w:tr>
        <w:trPr/>
        <w:tc>
          <w:tcPr>
            <w:tcW w:w="32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Percentile Rank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94.5%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95.6%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rFonts w:ascii="Montserrat;sans-serif" w:hAnsi="Montserrat;sans-serif"/>
                <w:color w:val="000000"/>
                <w:sz w:val="17"/>
              </w:rPr>
            </w:pPr>
            <w:r>
              <w:rPr>
                <w:rFonts w:ascii="Montserrat;sans-serif" w:hAnsi="Montserrat;sans-serif"/>
                <w:color w:val="000000"/>
                <w:sz w:val="17"/>
              </w:rPr>
              <w:t>80.7%</w:t>
            </w:r>
          </w:p>
        </w:tc>
      </w:tr>
      <w:tr>
        <w:trPr/>
        <w:tc>
          <w:tcPr>
            <w:tcW w:w="325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Payout (% of Total Target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33.3%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33.3%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rFonts w:ascii="Montserrat;sans-serif" w:hAnsi="Montserrat;sans-serif"/>
                <w:color w:val="000000"/>
                <w:sz w:val="17"/>
              </w:rPr>
            </w:pPr>
            <w:r>
              <w:rPr>
                <w:rFonts w:ascii="Montserrat;sans-serif" w:hAnsi="Montserrat;sans-serif"/>
                <w:color w:val="000000"/>
                <w:sz w:val="17"/>
              </w:rPr>
              <w:t>133.3%</w:t>
            </w:r>
          </w:p>
        </w:tc>
      </w:tr>
      <w:tr>
        <w:trPr/>
        <w:tc>
          <w:tcPr>
            <w:tcW w:w="32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765" w:type="dxa"/>
            <w:gridSpan w:val="5"/>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7"/>
              </w:rPr>
            </w:pPr>
            <w:r>
              <w:rPr>
                <w:rFonts w:ascii="Montserrat;sans-serif" w:hAnsi="Montserrat;sans-serif"/>
                <w:b/>
                <w:color w:val="7855FA"/>
                <w:sz w:val="17"/>
              </w:rPr>
              <w:t>TOTAL PAYOUT (% OF TARGET)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7"/>
              </w:rPr>
            </w:pPr>
            <w:r>
              <w:rPr>
                <w:rFonts w:ascii="Montserrat;sans-serif" w:hAnsi="Montserrat;sans-serif"/>
                <w:b/>
                <w:color w:val="7855FA"/>
                <w:sz w:val="17"/>
              </w:rPr>
              <w:t>200.0%</w:t>
            </w:r>
          </w:p>
        </w:tc>
      </w:tr>
      <w:tr>
        <w:trPr/>
        <w:tc>
          <w:tcPr>
            <w:tcW w:w="325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28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340"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7281" w:type="dxa"/>
        <w:jc w:val="left"/>
        <w:tblInd w:w="0" w:type="dxa"/>
        <w:tblLayout w:type="fixed"/>
        <w:tblCellMar>
          <w:top w:w="28" w:type="dxa"/>
          <w:left w:w="28" w:type="dxa"/>
          <w:bottom w:w="28" w:type="dxa"/>
          <w:right w:w="28" w:type="dxa"/>
        </w:tblCellMar>
      </w:tblPr>
      <w:tblGrid>
        <w:gridCol w:w="3251"/>
        <w:gridCol w:w="146"/>
        <w:gridCol w:w="906"/>
        <w:gridCol w:w="176"/>
        <w:gridCol w:w="1286"/>
        <w:gridCol w:w="176"/>
        <w:gridCol w:w="1340"/>
      </w:tblGrid>
      <w:tr>
        <w:trPr/>
        <w:tc>
          <w:tcPr>
            <w:tcW w:w="3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r>
      <w:tr>
        <w:trPr/>
        <w:tc>
          <w:tcPr>
            <w:tcW w:w="3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4" w:type="dxa"/>
            <w:gridSpan w:val="5"/>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Montserrat;sans-serif" w:hAnsi="Montserrat;sans-serif"/>
                <w:sz w:val="16"/>
              </w:rPr>
            </w:pPr>
            <w:r>
              <w:rPr>
                <w:rFonts w:ascii="Montserrat;sans-serif" w:hAnsi="Montserrat;sans-serif"/>
                <w:b/>
                <w:color w:val="7855FA"/>
                <w:sz w:val="16"/>
              </w:rPr>
              <w:t>FY25-FY27 PRSU Performance Results</w:t>
            </w:r>
            <w:r>
              <w:rPr>
                <w:rFonts w:ascii="Montserrat;sans-serif" w:hAnsi="Montserrat;sans-serif"/>
                <w:b/>
                <w:color w:val="7855FA"/>
                <w:sz w:val="11"/>
              </w:rPr>
              <w:t>(1)</w:t>
            </w:r>
          </w:p>
        </w:tc>
      </w:tr>
      <w:tr>
        <w:trPr/>
        <w:tc>
          <w:tcPr>
            <w:tcW w:w="32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6" w:type="dxa"/>
            <w:tcBorders/>
            <w:shd w:fill="FFFFFF" w:val="clear"/>
            <w:tcMar>
              <w:top w:w="0" w:type="dxa"/>
              <w:left w:w="0" w:type="dxa"/>
              <w:bottom w:w="0" w:type="dxa"/>
              <w:right w:w="0" w:type="dxa"/>
            </w:tcMar>
            <w:vAlign w:val="center"/>
          </w:tcPr>
          <w:p>
            <w:pPr>
              <w:pStyle w:val="TableContents"/>
              <w:bidi w:val="0"/>
              <w:spacing w:lineRule="auto" w:line="360" w:before="0" w:after="283"/>
              <w:jc w:val="right"/>
              <w:rPr>
                <w:rFonts w:ascii="Montserrat Medium;sans-serif" w:hAnsi="Montserrat Medium;sans-serif"/>
                <w:sz w:val="16"/>
              </w:rPr>
            </w:pPr>
            <w:r>
              <w:rPr>
                <w:rFonts w:ascii="Montserrat;Montserrat Medium;sans-serif" w:hAnsi="Montserrat;Montserrat Medium;sans-serif"/>
                <w:b/>
                <w:color w:val="7855FA"/>
                <w:sz w:val="16"/>
              </w:rPr>
              <w:t>FY25</w:t>
            </w:r>
            <w:r>
              <w:rPr>
                <w:rFonts w:ascii="Montserrat;Montserrat Medium;sans-serif" w:hAnsi="Montserrat;Montserrat Medium;sans-serif"/>
                <w:b/>
                <w:color w:val="7855FA"/>
                <w:sz w:val="11"/>
              </w:rPr>
              <w:t>(2)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6" w:type="dxa"/>
            <w:tcBorders/>
            <w:shd w:fill="FFFFFF" w:val="clear"/>
            <w:tcMar>
              <w:top w:w="0" w:type="dxa"/>
              <w:left w:w="0" w:type="dxa"/>
              <w:bottom w:w="0" w:type="dxa"/>
              <w:right w:w="0" w:type="dxa"/>
            </w:tcMar>
            <w:vAlign w:val="center"/>
          </w:tcPr>
          <w:p>
            <w:pPr>
              <w:pStyle w:val="TableContents"/>
              <w:bidi w:val="0"/>
              <w:spacing w:lineRule="auto" w:line="360" w:before="0" w:after="283"/>
              <w:jc w:val="right"/>
              <w:rPr>
                <w:rFonts w:ascii="Montserrat Medium;sans-serif" w:hAnsi="Montserrat Medium;sans-serif"/>
                <w:sz w:val="16"/>
              </w:rPr>
            </w:pPr>
            <w:r>
              <w:rPr>
                <w:rFonts w:ascii="Montserrat;Montserrat Medium;sans-serif" w:hAnsi="Montserrat;Montserrat Medium;sans-serif"/>
                <w:b/>
                <w:color w:val="7855FA"/>
                <w:sz w:val="16"/>
              </w:rPr>
              <w:t>FY25-26</w:t>
            </w:r>
            <w:r>
              <w:rPr>
                <w:rFonts w:ascii="Montserrat;Montserrat Medium;sans-serif" w:hAnsi="Montserrat;Montserrat Medium;sans-serif"/>
                <w:b/>
                <w:color w:val="7855FA"/>
                <w:sz w:val="11"/>
              </w:rPr>
              <w:t>(2)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40" w:type="dxa"/>
            <w:tcBorders/>
            <w:shd w:fill="FFFFFF" w:val="clear"/>
            <w:tcMar>
              <w:top w:w="0" w:type="dxa"/>
              <w:left w:w="0" w:type="dxa"/>
              <w:bottom w:w="0" w:type="dxa"/>
              <w:right w:w="0" w:type="dxa"/>
            </w:tcMar>
            <w:vAlign w:val="center"/>
          </w:tcPr>
          <w:p>
            <w:pPr>
              <w:pStyle w:val="TableContents"/>
              <w:bidi w:val="0"/>
              <w:spacing w:lineRule="auto" w:line="360" w:before="0" w:after="283"/>
              <w:jc w:val="right"/>
              <w:rPr>
                <w:rFonts w:ascii="Montserrat Medium;sans-serif" w:hAnsi="Montserrat Medium;sans-serif"/>
                <w:sz w:val="16"/>
              </w:rPr>
            </w:pPr>
            <w:r>
              <w:rPr>
                <w:rFonts w:ascii="Montserrat;Montserrat Medium;sans-serif" w:hAnsi="Montserrat;Montserrat Medium;sans-serif"/>
                <w:b/>
                <w:color w:val="7855FA"/>
                <w:sz w:val="16"/>
              </w:rPr>
              <w:t>FY25-27</w:t>
            </w:r>
            <w:r>
              <w:rPr>
                <w:rFonts w:ascii="Montserrat;Montserrat Medium;sans-serif" w:hAnsi="Montserrat;Montserrat Medium;sans-serif"/>
                <w:b/>
                <w:color w:val="7855FA"/>
                <w:sz w:val="11"/>
              </w:rPr>
              <w:t>(2)</w:t>
            </w:r>
          </w:p>
        </w:tc>
      </w:tr>
      <w:tr>
        <w:trPr/>
        <w:tc>
          <w:tcPr>
            <w:tcW w:w="325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90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28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340"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32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Nutanix TSR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40.1%</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(1.3)%</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Percentile Rank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83.8%</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55.6%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Montserrat;sans-serif" w:hAnsi="Montserrat;sans-serif"/>
                <w:color w:val="000000"/>
                <w:sz w:val="17"/>
              </w:rPr>
            </w:pPr>
            <w:r>
              <w:rPr>
                <w:rFonts w:ascii="Montserrat;sans-serif" w:hAnsi="Montserrat;sans-serif"/>
                <w:color w:val="000000"/>
                <w:sz w:val="17"/>
              </w:rPr>
              <w:t>TBD</w:t>
            </w:r>
          </w:p>
        </w:tc>
      </w:tr>
      <w:tr>
        <w:trPr/>
        <w:tc>
          <w:tcPr>
            <w:tcW w:w="325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Payout (% of Total Target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33.3%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33.3%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32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765" w:type="dxa"/>
            <w:gridSpan w:val="5"/>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7"/>
              </w:rPr>
            </w:pPr>
            <w:r>
              <w:rPr>
                <w:rFonts w:ascii="Montserrat;sans-serif" w:hAnsi="Montserrat;sans-serif"/>
                <w:b/>
                <w:color w:val="7855FA"/>
                <w:sz w:val="17"/>
              </w:rPr>
              <w:t>TOTAL PAYOUT (% OF TARGET) TO DATE</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7"/>
              </w:rPr>
            </w:pPr>
            <w:r>
              <w:rPr>
                <w:rFonts w:ascii="Montserrat;sans-serif" w:hAnsi="Montserrat;sans-serif"/>
                <w:b/>
                <w:color w:val="7855FA"/>
                <w:sz w:val="17"/>
              </w:rPr>
              <w:t>66.7%</w:t>
            </w:r>
          </w:p>
        </w:tc>
      </w:tr>
      <w:tr>
        <w:trPr/>
        <w:tc>
          <w:tcPr>
            <w:tcW w:w="325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28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340"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7281" w:type="dxa"/>
        <w:jc w:val="left"/>
        <w:tblInd w:w="0" w:type="dxa"/>
        <w:tblLayout w:type="fixed"/>
        <w:tblCellMar>
          <w:top w:w="28" w:type="dxa"/>
          <w:left w:w="28" w:type="dxa"/>
          <w:bottom w:w="28" w:type="dxa"/>
          <w:right w:w="28" w:type="dxa"/>
        </w:tblCellMar>
      </w:tblPr>
      <w:tblGrid>
        <w:gridCol w:w="3251"/>
        <w:gridCol w:w="146"/>
        <w:gridCol w:w="906"/>
        <w:gridCol w:w="176"/>
        <w:gridCol w:w="1286"/>
        <w:gridCol w:w="176"/>
        <w:gridCol w:w="1340"/>
      </w:tblGrid>
      <w:tr>
        <w:trPr/>
        <w:tc>
          <w:tcPr>
            <w:tcW w:w="3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r>
      <w:tr>
        <w:trPr/>
        <w:tc>
          <w:tcPr>
            <w:tcW w:w="3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84" w:type="dxa"/>
            <w:gridSpan w:val="5"/>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Montserrat;sans-serif" w:hAnsi="Montserrat;sans-serif"/>
                <w:sz w:val="16"/>
              </w:rPr>
            </w:pPr>
            <w:r>
              <w:rPr>
                <w:rFonts w:ascii="Montserrat;sans-serif" w:hAnsi="Montserrat;sans-serif"/>
                <w:b/>
                <w:color w:val="7855FA"/>
                <w:sz w:val="16"/>
              </w:rPr>
              <w:t>FY26-FY28 PRSU Performance Results</w:t>
            </w:r>
            <w:r>
              <w:rPr>
                <w:rFonts w:ascii="Montserrat;sans-serif" w:hAnsi="Montserrat;sans-serif"/>
                <w:b/>
                <w:color w:val="7855FA"/>
                <w:sz w:val="11"/>
              </w:rPr>
              <w:t>(1)</w:t>
            </w:r>
          </w:p>
        </w:tc>
      </w:tr>
      <w:tr>
        <w:trPr/>
        <w:tc>
          <w:tcPr>
            <w:tcW w:w="32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6" w:type="dxa"/>
            <w:tcBorders/>
            <w:shd w:fill="FFFFFF" w:val="clear"/>
            <w:tcMar>
              <w:top w:w="0" w:type="dxa"/>
              <w:left w:w="0" w:type="dxa"/>
              <w:bottom w:w="0" w:type="dxa"/>
              <w:right w:w="0" w:type="dxa"/>
            </w:tcMar>
            <w:vAlign w:val="center"/>
          </w:tcPr>
          <w:p>
            <w:pPr>
              <w:pStyle w:val="TableContents"/>
              <w:bidi w:val="0"/>
              <w:spacing w:lineRule="auto" w:line="360" w:before="0" w:after="283"/>
              <w:jc w:val="right"/>
              <w:rPr>
                <w:rFonts w:ascii="Montserrat Medium;sans-serif" w:hAnsi="Montserrat Medium;sans-serif"/>
                <w:sz w:val="16"/>
              </w:rPr>
            </w:pPr>
            <w:r>
              <w:rPr>
                <w:rFonts w:ascii="Montserrat;Montserrat Medium;sans-serif" w:hAnsi="Montserrat;Montserrat Medium;sans-serif"/>
                <w:b/>
                <w:color w:val="7855FA"/>
                <w:sz w:val="16"/>
              </w:rPr>
              <w:t>FY26</w:t>
            </w:r>
            <w:r>
              <w:rPr>
                <w:rFonts w:ascii="Montserrat;Montserrat Medium;sans-serif" w:hAnsi="Montserrat;Montserrat Medium;sans-serif"/>
                <w:b/>
                <w:color w:val="7855FA"/>
                <w:sz w:val="11"/>
              </w:rPr>
              <w:t>(2)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6" w:type="dxa"/>
            <w:tcBorders/>
            <w:shd w:fill="FFFFFF" w:val="clear"/>
            <w:tcMar>
              <w:top w:w="0" w:type="dxa"/>
              <w:left w:w="0" w:type="dxa"/>
              <w:bottom w:w="0" w:type="dxa"/>
              <w:right w:w="0" w:type="dxa"/>
            </w:tcMar>
            <w:vAlign w:val="center"/>
          </w:tcPr>
          <w:p>
            <w:pPr>
              <w:pStyle w:val="TableContents"/>
              <w:bidi w:val="0"/>
              <w:spacing w:lineRule="auto" w:line="360" w:before="0" w:after="283"/>
              <w:jc w:val="right"/>
              <w:rPr>
                <w:rFonts w:ascii="Montserrat Medium;sans-serif" w:hAnsi="Montserrat Medium;sans-serif"/>
                <w:sz w:val="16"/>
              </w:rPr>
            </w:pPr>
            <w:r>
              <w:rPr>
                <w:rFonts w:ascii="Montserrat;Montserrat Medium;sans-serif" w:hAnsi="Montserrat;Montserrat Medium;sans-serif"/>
                <w:b/>
                <w:color w:val="7855FA"/>
                <w:sz w:val="16"/>
              </w:rPr>
              <w:t>FY26-27</w:t>
            </w:r>
            <w:r>
              <w:rPr>
                <w:rFonts w:ascii="Montserrat;Montserrat Medium;sans-serif" w:hAnsi="Montserrat;Montserrat Medium;sans-serif"/>
                <w:b/>
                <w:color w:val="7855FA"/>
                <w:sz w:val="11"/>
              </w:rPr>
              <w:t>(2)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40" w:type="dxa"/>
            <w:tcBorders/>
            <w:shd w:fill="FFFFFF" w:val="clear"/>
            <w:tcMar>
              <w:top w:w="0" w:type="dxa"/>
              <w:left w:w="0" w:type="dxa"/>
              <w:bottom w:w="0" w:type="dxa"/>
              <w:right w:w="0" w:type="dxa"/>
            </w:tcMar>
            <w:vAlign w:val="center"/>
          </w:tcPr>
          <w:p>
            <w:pPr>
              <w:pStyle w:val="TableContents"/>
              <w:bidi w:val="0"/>
              <w:spacing w:lineRule="auto" w:line="360" w:before="0" w:after="283"/>
              <w:jc w:val="right"/>
              <w:rPr>
                <w:rFonts w:ascii="Montserrat Medium;sans-serif" w:hAnsi="Montserrat Medium;sans-serif"/>
                <w:sz w:val="16"/>
              </w:rPr>
            </w:pPr>
            <w:r>
              <w:rPr>
                <w:rFonts w:ascii="Montserrat;Montserrat Medium;sans-serif" w:hAnsi="Montserrat;Montserrat Medium;sans-serif"/>
                <w:b/>
                <w:color w:val="7855FA"/>
                <w:sz w:val="16"/>
              </w:rPr>
              <w:t>FY26-28</w:t>
            </w:r>
            <w:r>
              <w:rPr>
                <w:rFonts w:ascii="Montserrat;Montserrat Medium;sans-serif" w:hAnsi="Montserrat;Montserrat Medium;sans-serif"/>
                <w:b/>
                <w:color w:val="7855FA"/>
                <w:sz w:val="11"/>
              </w:rPr>
              <w:t>(2)</w:t>
            </w:r>
          </w:p>
        </w:tc>
      </w:tr>
      <w:tr>
        <w:trPr/>
        <w:tc>
          <w:tcPr>
            <w:tcW w:w="325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90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28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340"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32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Nutanix TSR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(29.6)%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Percentile Rank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36.3%</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TBD</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Montserrat;sans-serif" w:hAnsi="Montserrat;sans-serif"/>
                <w:color w:val="000000"/>
                <w:sz w:val="17"/>
              </w:rPr>
            </w:pPr>
            <w:r>
              <w:rPr>
                <w:rFonts w:ascii="Montserrat;sans-serif" w:hAnsi="Montserrat;sans-serif"/>
                <w:color w:val="000000"/>
                <w:sz w:val="17"/>
              </w:rPr>
              <w:t>TBD</w:t>
            </w:r>
          </w:p>
        </w:tc>
      </w:tr>
      <w:tr>
        <w:trPr/>
        <w:tc>
          <w:tcPr>
            <w:tcW w:w="325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Payout (% of Total Target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7"/>
              </w:rPr>
            </w:pPr>
            <w:r>
              <w:rPr>
                <w:rFonts w:ascii="Montserrat;sans-serif" w:hAnsi="Montserrat;sans-serif"/>
                <w:color w:val="000000"/>
                <w:sz w:val="17"/>
              </w:rPr>
              <w:t>24.2%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32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765" w:type="dxa"/>
            <w:gridSpan w:val="5"/>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7"/>
              </w:rPr>
            </w:pPr>
            <w:r>
              <w:rPr>
                <w:rFonts w:ascii="Montserrat;sans-serif" w:hAnsi="Montserrat;sans-serif"/>
                <w:b/>
                <w:color w:val="7855FA"/>
                <w:sz w:val="17"/>
              </w:rPr>
              <w:t>TOTAL PAYOUT (% OF TARGET) TO DATE</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7"/>
              </w:rPr>
            </w:pPr>
            <w:r>
              <w:rPr>
                <w:rFonts w:ascii="Montserrat;sans-serif" w:hAnsi="Montserrat;sans-serif"/>
                <w:b/>
                <w:color w:val="7855FA"/>
                <w:sz w:val="17"/>
              </w:rPr>
              <w:t>24.2%</w:t>
            </w:r>
          </w:p>
        </w:tc>
      </w:tr>
      <w:tr>
        <w:trPr/>
        <w:tc>
          <w:tcPr>
            <w:tcW w:w="325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28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340"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Montserrat;sans-serif" w:hAnsi="Montserrat;sans-serif"/>
          <w:color w:val="000000"/>
          <w:sz w:val="16"/>
        </w:rPr>
      </w:pPr>
      <w:r>
        <w:rPr>
          <w:rFonts w:ascii="Montserrat;sans-serif" w:hAnsi="Montserrat;sans-serif"/>
          <w:color w:val="000000"/>
          <w:sz w:val="16"/>
        </w:rPr>
        <w:t>(1)</w:t>
      </w:r>
    </w:p>
    <w:p>
      <w:pPr>
        <w:pStyle w:val="TextBody"/>
        <w:bidi w:val="0"/>
        <w:spacing w:before="0" w:after="0"/>
        <w:jc w:val="both"/>
        <w:rPr>
          <w:rFonts w:ascii="Montserrat;sans-serif" w:hAnsi="Montserrat;sans-serif"/>
          <w:color w:val="000000"/>
          <w:sz w:val="16"/>
        </w:rPr>
      </w:pPr>
      <w:r>
        <w:rPr>
          <w:rFonts w:ascii="Montserrat;sans-serif" w:hAnsi="Montserrat;sans-serif"/>
          <w:color w:val="000000"/>
          <w:sz w:val="16"/>
        </w:rPr>
        <w:t>Performance results are measured cumulatively from the beginning of the fiscal year in which the award was granted through the end of each applicable fiscal year. For example, FY24-FY25 results of the award granted in fiscal year 2024 represents Nutanix’s relative TSR performance from August 1, 2023 through July 31, 2025.</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(2)</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 xml:space="preserve">The interim payouts reflected in the first and second performance periods are each capped at one-third of the target shares covered by an award. The final payout opportunity in the third performance period may be up to 200% of target, less any interim payouts distributed to date and, for awards granted in fiscal years 2024 and 2025, the impact of the applicable value cap. For the awards granted in fiscal year 2024, the total number of shares earned was based on the combination of our relative TSR (80.7th percentile) and the average ending stock price for the June-July 2026 period of $52.76. </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301"/>
        <w:gridCol w:w="2671"/>
      </w:tblGrid>
      <w:tr>
        <w:trPr/>
        <w:tc>
          <w:tcPr>
            <w:tcW w:w="30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50</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194"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83" descr=""/>
                          <pic:cNvPicPr>
                            <a:picLocks noChangeAspect="1" noChangeArrowheads="1"/>
                          </pic:cNvPicPr>
                        </pic:nvPicPr>
                        <pic:blipFill>
                          <a:blip r:embed="rId187"/>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rFonts w:ascii="Montserrat;sans-serif" w:hAnsi="Montserrat;sans-serif"/>
          <w:color w:val="000000"/>
          <w:sz w:val="13"/>
        </w:rPr>
      </w:pPr>
      <w:r>
        <w:rPr>
          <w:rFonts w:ascii="Montserrat;sans-serif" w:hAnsi="Montserrat;sans-serif"/>
          <w:color w:val="000000"/>
          <w:sz w:val="13"/>
        </w:rPr>
        <w:t>Executive Compensation</w:t>
      </w:r>
    </w:p>
    <w:p>
      <w:pPr>
        <w:pStyle w:val="TextBody"/>
        <w:bidi w:val="0"/>
        <w:spacing w:before="60" w:after="283"/>
        <w:jc w:val="right"/>
        <w:rPr>
          <w:rFonts w:ascii="Montserrat;sans-serif" w:hAnsi="Montserrat;sans-serif"/>
          <w:color w:val="000000"/>
          <w:sz w:val="12"/>
        </w:rPr>
      </w:pPr>
      <w:r>
        <w:rPr>
          <w:rFonts w:ascii="Montserrat;sans-serif" w:hAnsi="Montserrat;sans-serif"/>
          <w:color w:val="000000"/>
          <w:sz w:val="12"/>
        </w:rPr>
        <w:t>Compensation Discussion and Analysis</w:t>
      </w:r>
    </w:p>
    <w:p>
      <w:pPr>
        <w:pStyle w:val="TextBody"/>
        <w:bidi w:val="0"/>
        <w:jc w:val="right"/>
        <w:rPr/>
      </w:pPr>
      <w:r>
        <w:rPr/>
        <w:t> </w:t>
      </w:r>
    </w:p>
    <w:p>
      <w:pPr>
        <w:pStyle w:val="TextBody"/>
        <w:bidi w:val="0"/>
        <w:jc w:val="right"/>
        <w:rPr/>
      </w:pPr>
      <w:r>
        <w:rPr/>
        <w:t> </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Previously Granted Fiscal Year 2024 CEO Supplemental Long-Term Performance-Based Equity Award</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Our fiscal year 2024 proxy statement includes full details and context of the circumstances surrounding Mr. Ramaswami’s supplemental long-term performance-based equity award. The design and performance-to-date of this award is detailed below. No portion of the award will vest unless Mr. Ramaswami remains our CEO through the end of fiscal year 2027.</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09"/>
        <w:gridCol w:w="146"/>
        <w:gridCol w:w="1306"/>
        <w:gridCol w:w="146"/>
        <w:gridCol w:w="2031"/>
        <w:gridCol w:w="391"/>
        <w:gridCol w:w="4576"/>
      </w:tblGrid>
      <w:tr>
        <w:trPr/>
        <w:tc>
          <w:tcPr>
            <w:tcW w:w="16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576" w:type="dxa"/>
            <w:tcBorders/>
            <w:vAlign w:val="center"/>
          </w:tcPr>
          <w:p>
            <w:pPr>
              <w:pStyle w:val="TableContents"/>
              <w:bidi w:val="0"/>
              <w:spacing w:before="0" w:after="283"/>
              <w:ind w:left="0" w:right="0" w:firstLine="60"/>
              <w:jc w:val="left"/>
              <w:rPr>
                <w:sz w:val="4"/>
                <w:szCs w:val="4"/>
              </w:rPr>
            </w:pPr>
            <w:r>
              <w:rPr>
                <w:sz w:val="4"/>
                <w:szCs w:val="4"/>
              </w:rPr>
            </w:r>
          </w:p>
        </w:tc>
      </w:tr>
      <w:tr>
        <w:trPr/>
        <w:tc>
          <w:tcPr>
            <w:tcW w:w="1609" w:type="dxa"/>
            <w:tcBorders>
              <w:bottom w:val="single" w:sz="4" w:space="0" w:color="7855FA"/>
            </w:tcBorders>
            <w:tcMar>
              <w:top w:w="0" w:type="dxa"/>
              <w:left w:w="0" w:type="dxa"/>
              <w:right w:w="0" w:type="dxa"/>
            </w:tcMar>
            <w:vAlign w:val="center"/>
          </w:tcPr>
          <w:p>
            <w:pPr>
              <w:pStyle w:val="TableContents"/>
              <w:bidi w:val="0"/>
              <w:spacing w:before="0" w:after="20"/>
              <w:ind w:left="60" w:right="0" w:firstLine="60"/>
              <w:jc w:val="left"/>
              <w:rPr>
                <w:rFonts w:ascii="Montserrat;sans-serif" w:hAnsi="Montserrat;sans-serif"/>
                <w:b/>
                <w:color w:val="7855FA"/>
                <w:sz w:val="18"/>
              </w:rPr>
            </w:pPr>
            <w:r>
              <w:rPr>
                <w:rFonts w:ascii="Montserrat;sans-serif" w:hAnsi="Montserrat;sans-serif"/>
                <w:b/>
                <w:color w:val="7855FA"/>
                <w:sz w:val="18"/>
              </w:rPr>
              <w:t>Performance Metric</w:t>
            </w:r>
          </w:p>
        </w:tc>
        <w:tc>
          <w:tcPr>
            <w:tcW w:w="146" w:type="dxa"/>
            <w:tcBorders>
              <w:bottom w:val="single" w:sz="4" w:space="0" w:color="7855FA"/>
            </w:tcBorders>
            <w:tcMar>
              <w:top w:w="0" w:type="dxa"/>
              <w:left w:w="0" w:type="dxa"/>
              <w:right w:w="0" w:type="dxa"/>
            </w:tcMar>
            <w:vAlign w:val="center"/>
          </w:tcPr>
          <w:p>
            <w:pPr>
              <w:pStyle w:val="TableContents"/>
              <w:bidi w:val="0"/>
              <w:spacing w:before="0" w:after="20"/>
              <w:jc w:val="left"/>
              <w:rPr/>
            </w:pPr>
            <w:r>
              <w:rPr/>
              <w:t> </w:t>
            </w:r>
          </w:p>
        </w:tc>
        <w:tc>
          <w:tcPr>
            <w:tcW w:w="1306" w:type="dxa"/>
            <w:tcBorders>
              <w:bottom w:val="single" w:sz="4" w:space="0" w:color="7855FA"/>
            </w:tcBorders>
            <w:tcMar>
              <w:top w:w="0" w:type="dxa"/>
              <w:left w:w="0" w:type="dxa"/>
              <w:right w:w="0" w:type="dxa"/>
            </w:tcMar>
            <w:vAlign w:val="center"/>
          </w:tcPr>
          <w:p>
            <w:pPr>
              <w:pStyle w:val="TableContents"/>
              <w:bidi w:val="0"/>
              <w:spacing w:before="0" w:after="20"/>
              <w:jc w:val="left"/>
              <w:rPr>
                <w:rFonts w:ascii="Montserrat;sans-serif" w:hAnsi="Montserrat;sans-serif"/>
                <w:b/>
                <w:color w:val="7855FA"/>
                <w:sz w:val="18"/>
              </w:rPr>
            </w:pPr>
            <w:r>
              <w:rPr>
                <w:rFonts w:ascii="Montserrat;sans-serif" w:hAnsi="Montserrat;sans-serif"/>
                <w:b/>
                <w:color w:val="7855FA"/>
                <w:sz w:val="18"/>
              </w:rPr>
              <w:t>Metric Type</w:t>
            </w:r>
          </w:p>
        </w:tc>
        <w:tc>
          <w:tcPr>
            <w:tcW w:w="146" w:type="dxa"/>
            <w:tcBorders>
              <w:bottom w:val="single" w:sz="4" w:space="0" w:color="7855FA"/>
            </w:tcBorders>
            <w:tcMar>
              <w:top w:w="0" w:type="dxa"/>
              <w:left w:w="0" w:type="dxa"/>
              <w:right w:w="0" w:type="dxa"/>
            </w:tcMar>
            <w:vAlign w:val="center"/>
          </w:tcPr>
          <w:p>
            <w:pPr>
              <w:pStyle w:val="TableContents"/>
              <w:bidi w:val="0"/>
              <w:spacing w:before="0" w:after="20"/>
              <w:jc w:val="left"/>
              <w:rPr/>
            </w:pPr>
            <w:r>
              <w:rPr/>
              <w:t> </w:t>
            </w:r>
          </w:p>
        </w:tc>
        <w:tc>
          <w:tcPr>
            <w:tcW w:w="2031" w:type="dxa"/>
            <w:tcBorders>
              <w:bottom w:val="single" w:sz="4" w:space="0" w:color="7855FA"/>
            </w:tcBorders>
            <w:tcMar>
              <w:top w:w="0" w:type="dxa"/>
              <w:left w:w="0" w:type="dxa"/>
              <w:right w:w="0" w:type="dxa"/>
            </w:tcMar>
            <w:vAlign w:val="center"/>
          </w:tcPr>
          <w:p>
            <w:pPr>
              <w:pStyle w:val="TableContents"/>
              <w:bidi w:val="0"/>
              <w:spacing w:before="0" w:after="20"/>
              <w:jc w:val="center"/>
              <w:rPr>
                <w:rFonts w:ascii="Montserrat;sans-serif" w:hAnsi="Montserrat;sans-serif"/>
                <w:sz w:val="18"/>
              </w:rPr>
            </w:pPr>
            <w:r>
              <w:rPr>
                <w:rFonts w:ascii="Montserrat;sans-serif" w:hAnsi="Montserrat;sans-serif"/>
                <w:b/>
                <w:color w:val="7855FA"/>
                <w:sz w:val="18"/>
              </w:rPr>
              <w:t>Weighting</w:t>
            </w:r>
            <w:r>
              <w:rPr>
                <w:rFonts w:ascii="Montserrat;sans-serif" w:hAnsi="Montserrat;sans-serif"/>
                <w:color w:val="7855FA"/>
                <w:sz w:val="18"/>
              </w:rPr>
              <w:br/>
            </w:r>
            <w:r>
              <w:rPr>
                <w:rFonts w:ascii="Montserrat;sans-serif" w:hAnsi="Montserrat;sans-serif"/>
                <w:b/>
                <w:color w:val="7855FA"/>
                <w:sz w:val="18"/>
              </w:rPr>
              <w:t>(% of Total)</w:t>
            </w:r>
          </w:p>
        </w:tc>
        <w:tc>
          <w:tcPr>
            <w:tcW w:w="391" w:type="dxa"/>
            <w:tcBorders>
              <w:bottom w:val="single" w:sz="4" w:space="0" w:color="7855FA"/>
            </w:tcBorders>
            <w:tcMar>
              <w:top w:w="0" w:type="dxa"/>
              <w:left w:w="0" w:type="dxa"/>
              <w:right w:w="0" w:type="dxa"/>
            </w:tcMar>
            <w:vAlign w:val="center"/>
          </w:tcPr>
          <w:p>
            <w:pPr>
              <w:pStyle w:val="TableContents"/>
              <w:bidi w:val="0"/>
              <w:spacing w:before="0" w:after="20"/>
              <w:jc w:val="left"/>
              <w:rPr/>
            </w:pPr>
            <w:r>
              <w:rPr/>
              <w:t> </w:t>
            </w:r>
          </w:p>
        </w:tc>
        <w:tc>
          <w:tcPr>
            <w:tcW w:w="4576" w:type="dxa"/>
            <w:tcBorders>
              <w:bottom w:val="single" w:sz="4" w:space="0" w:color="7855FA"/>
            </w:tcBorders>
            <w:tcMar>
              <w:top w:w="0" w:type="dxa"/>
              <w:left w:w="0" w:type="dxa"/>
              <w:right w:w="0" w:type="dxa"/>
            </w:tcMar>
            <w:vAlign w:val="center"/>
          </w:tcPr>
          <w:p>
            <w:pPr>
              <w:pStyle w:val="TableContents"/>
              <w:bidi w:val="0"/>
              <w:spacing w:before="0" w:after="20"/>
              <w:ind w:left="0" w:right="0" w:firstLine="58"/>
              <w:jc w:val="left"/>
              <w:rPr>
                <w:rFonts w:ascii="Montserrat;sans-serif" w:hAnsi="Montserrat;sans-serif"/>
                <w:b/>
                <w:color w:val="7855FA"/>
                <w:sz w:val="18"/>
              </w:rPr>
            </w:pPr>
            <w:r>
              <w:rPr>
                <w:rFonts w:ascii="Montserrat;sans-serif" w:hAnsi="Montserrat;sans-serif"/>
                <w:b/>
                <w:color w:val="7855FA"/>
                <w:sz w:val="18"/>
              </w:rPr>
              <w:t>Detail</w:t>
            </w:r>
          </w:p>
        </w:tc>
      </w:tr>
      <w:tr>
        <w:trPr/>
        <w:tc>
          <w:tcPr>
            <w:tcW w:w="1609" w:type="dxa"/>
            <w:tcBorders/>
            <w:tcMar>
              <w:top w:w="0" w:type="dxa"/>
              <w:left w:w="0" w:type="dxa"/>
              <w:bottom w:w="0" w:type="dxa"/>
              <w:right w:w="0" w:type="dxa"/>
            </w:tcMar>
            <w:vAlign w:val="center"/>
          </w:tcPr>
          <w:p>
            <w:pPr>
              <w:pStyle w:val="TableContents"/>
              <w:bidi w:val="0"/>
              <w:spacing w:before="0" w:after="283"/>
              <w:ind w:left="58" w:right="0" w:firstLine="58"/>
              <w:jc w:val="left"/>
              <w:rPr/>
            </w:pPr>
            <w:r>
              <w:rPr/>
              <w:t> </w:t>
            </w:r>
          </w:p>
        </w:tc>
        <w:tc>
          <w:tcPr>
            <w:tcW w:w="146" w:type="dxa"/>
            <w:vMerge w:val="restart"/>
            <w:tcBorders>
              <w:bottom w:val="single" w:sz="4" w:space="0" w:color="7855FA"/>
            </w:tcBorders>
            <w:tcMar>
              <w:top w:w="0" w:type="dxa"/>
              <w:left w:w="0" w:type="dxa"/>
              <w:right w:w="0" w:type="dxa"/>
            </w:tcMar>
            <w:vAlign w:val="center"/>
          </w:tcPr>
          <w:p>
            <w:pPr>
              <w:pStyle w:val="TableContents"/>
              <w:bidi w:val="0"/>
              <w:spacing w:before="120" w:after="283"/>
              <w:jc w:val="left"/>
              <w:rPr/>
            </w:pPr>
            <w:r>
              <w:rPr/>
              <w:t> </w:t>
            </w:r>
          </w:p>
        </w:tc>
        <w:tc>
          <w:tcPr>
            <w:tcW w:w="1306" w:type="dxa"/>
            <w:vMerge w:val="restart"/>
            <w:tcBorders>
              <w:bottom w:val="single" w:sz="4" w:space="0" w:color="7855FA"/>
            </w:tcBorders>
            <w:tcMar>
              <w:top w:w="0" w:type="dxa"/>
              <w:left w:w="0" w:type="dxa"/>
              <w:right w:w="0" w:type="dxa"/>
            </w:tcMar>
            <w:vAlign w:val="center"/>
          </w:tcPr>
          <w:p>
            <w:pPr>
              <w:pStyle w:val="TableContents"/>
              <w:bidi w:val="0"/>
              <w:spacing w:before="120" w:after="283"/>
              <w:jc w:val="left"/>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Operational</w:t>
            </w:r>
          </w:p>
        </w:tc>
        <w:tc>
          <w:tcPr>
            <w:tcW w:w="146" w:type="dxa"/>
            <w:vMerge w:val="restart"/>
            <w:tcBorders>
              <w:bottom w:val="single" w:sz="4" w:space="0" w:color="7855FA"/>
            </w:tcBorders>
            <w:tcMar>
              <w:top w:w="0" w:type="dxa"/>
              <w:left w:w="0" w:type="dxa"/>
              <w:right w:w="0" w:type="dxa"/>
            </w:tcMar>
            <w:vAlign w:val="center"/>
          </w:tcPr>
          <w:p>
            <w:pPr>
              <w:pStyle w:val="TableContents"/>
              <w:bidi w:val="0"/>
              <w:spacing w:before="120" w:after="283"/>
              <w:jc w:val="left"/>
              <w:rPr/>
            </w:pPr>
            <w:r>
              <w:rPr/>
              <w:t> </w:t>
            </w:r>
          </w:p>
        </w:tc>
        <w:tc>
          <w:tcPr>
            <w:tcW w:w="2031" w:type="dxa"/>
            <w:vMerge w:val="restart"/>
            <w:tcBorders>
              <w:bottom w:val="single" w:sz="4" w:space="0" w:color="7855FA"/>
            </w:tcBorders>
            <w:tcMar>
              <w:top w:w="0" w:type="dxa"/>
              <w:left w:w="0" w:type="dxa"/>
              <w:right w:w="0" w:type="dxa"/>
            </w:tcMar>
            <w:vAlign w:val="center"/>
          </w:tcPr>
          <w:p>
            <w:pPr>
              <w:pStyle w:val="TableContents"/>
              <w:bidi w:val="0"/>
              <w:spacing w:before="0" w:after="283"/>
              <w:ind w:left="0" w:right="0" w:firstLine="160"/>
              <w:jc w:val="center"/>
              <w:rPr/>
            </w:pPr>
            <w:r>
              <w:rPr/>
              <w:drawing>
                <wp:inline distT="0" distB="0" distL="0" distR="0">
                  <wp:extent cx="1133475" cy="809625"/>
                  <wp:effectExtent l="0" t="0" r="0" b="0"/>
                  <wp:docPr id="195"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84" descr=""/>
                          <pic:cNvPicPr>
                            <a:picLocks noChangeAspect="1" noChangeArrowheads="1"/>
                          </pic:cNvPicPr>
                        </pic:nvPicPr>
                        <pic:blipFill>
                          <a:blip r:embed="rId188"/>
                          <a:stretch>
                            <a:fillRect/>
                          </a:stretch>
                        </pic:blipFill>
                        <pic:spPr bwMode="auto">
                          <a:xfrm>
                            <a:off x="0" y="0"/>
                            <a:ext cx="1133475" cy="809625"/>
                          </a:xfrm>
                          <a:prstGeom prst="rect">
                            <a:avLst/>
                          </a:prstGeom>
                        </pic:spPr>
                      </pic:pic>
                    </a:graphicData>
                  </a:graphic>
                </wp:inline>
              </w:drawing>
            </w:r>
          </w:p>
        </w:tc>
        <w:tc>
          <w:tcPr>
            <w:tcW w:w="391" w:type="dxa"/>
            <w:vMerge w:val="restart"/>
            <w:tcBorders>
              <w:bottom w:val="single" w:sz="4" w:space="0" w:color="7855FA"/>
            </w:tcBorders>
            <w:tcMar>
              <w:top w:w="0" w:type="dxa"/>
              <w:left w:w="0" w:type="dxa"/>
              <w:right w:w="0" w:type="dxa"/>
            </w:tcMar>
            <w:vAlign w:val="center"/>
          </w:tcPr>
          <w:p>
            <w:pPr>
              <w:pStyle w:val="TableContents"/>
              <w:pBdr/>
              <w:bidi w:val="0"/>
              <w:spacing w:before="120" w:after="283"/>
              <w:ind w:left="0" w:right="0" w:firstLine="245"/>
              <w:jc w:val="left"/>
              <w:rPr/>
            </w:pPr>
            <w:r>
              <w:rPr/>
              <w:t> </w:t>
            </w:r>
          </w:p>
        </w:tc>
        <w:tc>
          <w:tcPr>
            <w:tcW w:w="4576" w:type="dxa"/>
            <w:vMerge w:val="restart"/>
            <w:tcBorders>
              <w:bottom w:val="single" w:sz="4" w:space="0" w:color="7855FA"/>
            </w:tcBorders>
            <w:tcMar>
              <w:top w:w="0" w:type="dxa"/>
              <w:left w:w="0" w:type="dxa"/>
              <w:right w:w="0" w:type="dxa"/>
            </w:tcMar>
            <w:vAlign w:val="center"/>
          </w:tcPr>
          <w:p>
            <w:pPr>
              <w:pStyle w:val="TableContents"/>
              <w:bidi w:val="0"/>
              <w:spacing w:before="60" w:after="283"/>
              <w:jc w:val="left"/>
              <w:rPr>
                <w:color w:val="7855FA"/>
              </w:rPr>
            </w:pPr>
            <w:r>
              <w:rPr>
                <w:color w:val="7855FA"/>
              </w:rPr>
              <w:t>•</w:t>
            </w:r>
          </w:p>
          <w:p>
            <w:pPr>
              <w:pStyle w:val="TableContents"/>
              <w:bidi w:val="0"/>
              <w:spacing w:before="60" w:after="283"/>
              <w:jc w:val="left"/>
              <w:rPr>
                <w:rFonts w:ascii="Montserrat;sans-serif" w:hAnsi="Montserrat;sans-serif"/>
                <w:color w:val="000000"/>
                <w:sz w:val="18"/>
              </w:rPr>
            </w:pPr>
            <w:r>
              <w:rPr>
                <w:rFonts w:ascii="Montserrat;sans-serif" w:hAnsi="Montserrat;sans-serif"/>
                <w:color w:val="000000"/>
                <w:sz w:val="18"/>
              </w:rPr>
              <w:t>ARR is an indicator of the top-line growth of our subscription business.</w:t>
            </w:r>
          </w:p>
          <w:p>
            <w:pPr>
              <w:pStyle w:val="TableContents"/>
              <w:bidi w:val="0"/>
              <w:spacing w:before="60" w:after="283"/>
              <w:jc w:val="left"/>
              <w:rPr>
                <w:color w:val="7855FA"/>
              </w:rPr>
            </w:pPr>
            <w:r>
              <w:rPr>
                <w:color w:val="7855FA"/>
              </w:rPr>
              <w:t>•</w:t>
            </w:r>
          </w:p>
          <w:p>
            <w:pPr>
              <w:pStyle w:val="TableContents"/>
              <w:bidi w:val="0"/>
              <w:spacing w:before="60" w:after="283"/>
              <w:jc w:val="left"/>
              <w:rPr>
                <w:rFonts w:ascii="Montserrat;sans-serif" w:hAnsi="Montserrat;sans-serif"/>
                <w:color w:val="000000"/>
                <w:sz w:val="18"/>
              </w:rPr>
            </w:pPr>
            <w:r>
              <w:rPr>
                <w:rFonts w:ascii="Montserrat;sans-serif" w:hAnsi="Montserrat;sans-serif"/>
                <w:color w:val="000000"/>
                <w:sz w:val="18"/>
              </w:rPr>
              <w:t>Free cash flow measures our ability to generate cash from business operations after capital expenditures.</w:t>
            </w:r>
          </w:p>
          <w:p>
            <w:pPr>
              <w:pStyle w:val="TableContents"/>
              <w:bidi w:val="0"/>
              <w:spacing w:before="60" w:after="60"/>
              <w:jc w:val="left"/>
              <w:rPr>
                <w:color w:val="7855FA"/>
              </w:rPr>
            </w:pPr>
            <w:r>
              <w:rPr>
                <w:color w:val="7855FA"/>
              </w:rPr>
              <w:t>•</w:t>
            </w:r>
          </w:p>
          <w:p>
            <w:pPr>
              <w:pStyle w:val="TableContents"/>
              <w:bidi w:val="0"/>
              <w:spacing w:lineRule="auto" w:line="360" w:before="60" w:after="60"/>
              <w:ind w:left="0" w:right="0" w:firstLine="58"/>
              <w:jc w:val="left"/>
              <w:rPr>
                <w:rFonts w:ascii="Montserrat;sans-serif" w:hAnsi="Montserrat;sans-serif"/>
                <w:sz w:val="12"/>
              </w:rPr>
            </w:pPr>
            <w:r>
              <w:rPr>
                <w:rFonts w:ascii="Montserrat;sans-serif" w:hAnsi="Montserrat;sans-serif"/>
                <w:color w:val="000000"/>
                <w:sz w:val="18"/>
              </w:rPr>
              <w:t>Performance against goals will be determined at the conclusion of the performance period (FY27 year-end).</w:t>
            </w:r>
            <w:r>
              <w:rPr>
                <w:rFonts w:ascii="Montserrat;sans-serif" w:hAnsi="Montserrat;sans-serif"/>
                <w:color w:val="000000"/>
                <w:sz w:val="12"/>
              </w:rPr>
              <w:t>(1)</w:t>
            </w:r>
          </w:p>
        </w:tc>
      </w:tr>
      <w:tr>
        <w:trPr/>
        <w:tc>
          <w:tcPr>
            <w:tcW w:w="1609" w:type="dxa"/>
            <w:tcBorders/>
            <w:tcMar>
              <w:top w:w="0" w:type="dxa"/>
              <w:left w:w="0" w:type="dxa"/>
              <w:bottom w:w="0" w:type="dxa"/>
              <w:right w:w="0" w:type="dxa"/>
            </w:tcMar>
            <w:vAlign w:val="center"/>
          </w:tcPr>
          <w:p>
            <w:pPr>
              <w:pStyle w:val="TableContents"/>
              <w:bidi w:val="0"/>
              <w:spacing w:before="0" w:after="283"/>
              <w:ind w:left="0" w:right="0" w:firstLine="58"/>
              <w:jc w:val="left"/>
              <w:rPr/>
            </w:pPr>
            <w:r>
              <w:rPr/>
              <w:t> </w:t>
            </w:r>
          </w:p>
        </w:tc>
        <w:tc>
          <w:tcPr>
            <w:tcW w:w="146" w:type="dxa"/>
            <w:vMerge w:val="continue"/>
            <w:tcBorders>
              <w:bottom w:val="single" w:sz="4" w:space="0" w:color="7855FA"/>
            </w:tcBorders>
            <w:tcMar>
              <w:top w:w="0" w:type="dxa"/>
              <w:left w:w="0" w:type="dxa"/>
              <w:right w:w="0" w:type="dxa"/>
            </w:tcMar>
            <w:vAlign w:val="center"/>
          </w:tcPr>
          <w:p>
            <w:pPr>
              <w:pStyle w:val="Normal"/>
              <w:bidi w:val="0"/>
              <w:jc w:val="left"/>
              <w:rPr/>
            </w:pPr>
            <w:r>
              <w:rPr/>
            </w:r>
          </w:p>
        </w:tc>
        <w:tc>
          <w:tcPr>
            <w:tcW w:w="1306" w:type="dxa"/>
            <w:vMerge w:val="continue"/>
            <w:tcBorders>
              <w:bottom w:val="single" w:sz="4" w:space="0" w:color="7855FA"/>
            </w:tcBorders>
            <w:tcMar>
              <w:top w:w="0" w:type="dxa"/>
              <w:left w:w="0" w:type="dxa"/>
              <w:right w:w="0" w:type="dxa"/>
            </w:tcMar>
            <w:vAlign w:val="center"/>
          </w:tcPr>
          <w:p>
            <w:pPr>
              <w:pStyle w:val="Normal"/>
              <w:bidi w:val="0"/>
              <w:jc w:val="left"/>
              <w:rPr/>
            </w:pPr>
            <w:r>
              <w:rPr/>
            </w:r>
          </w:p>
        </w:tc>
        <w:tc>
          <w:tcPr>
            <w:tcW w:w="146" w:type="dxa"/>
            <w:vMerge w:val="continue"/>
            <w:tcBorders>
              <w:bottom w:val="single" w:sz="4" w:space="0" w:color="7855FA"/>
            </w:tcBorders>
            <w:tcMar>
              <w:top w:w="0" w:type="dxa"/>
              <w:left w:w="0" w:type="dxa"/>
              <w:right w:w="0" w:type="dxa"/>
            </w:tcMar>
            <w:vAlign w:val="center"/>
          </w:tcPr>
          <w:p>
            <w:pPr>
              <w:pStyle w:val="Normal"/>
              <w:bidi w:val="0"/>
              <w:jc w:val="left"/>
              <w:rPr/>
            </w:pPr>
            <w:r>
              <w:rPr/>
            </w:r>
          </w:p>
        </w:tc>
        <w:tc>
          <w:tcPr>
            <w:tcW w:w="2031" w:type="dxa"/>
            <w:vMerge w:val="continue"/>
            <w:tcBorders>
              <w:bottom w:val="single" w:sz="4" w:space="0" w:color="7855FA"/>
            </w:tcBorders>
            <w:tcMar>
              <w:top w:w="0" w:type="dxa"/>
              <w:left w:w="0" w:type="dxa"/>
              <w:right w:w="0" w:type="dxa"/>
            </w:tcMar>
            <w:vAlign w:val="center"/>
          </w:tcPr>
          <w:p>
            <w:pPr>
              <w:pStyle w:val="Normal"/>
              <w:bidi w:val="0"/>
              <w:jc w:val="left"/>
              <w:rPr/>
            </w:pPr>
            <w:r>
              <w:rPr/>
            </w:r>
          </w:p>
        </w:tc>
        <w:tc>
          <w:tcPr>
            <w:tcW w:w="391" w:type="dxa"/>
            <w:vMerge w:val="continue"/>
            <w:tcBorders>
              <w:bottom w:val="single" w:sz="4" w:space="0" w:color="7855FA"/>
            </w:tcBorders>
            <w:tcMar>
              <w:top w:w="0" w:type="dxa"/>
              <w:left w:w="0" w:type="dxa"/>
              <w:right w:w="0" w:type="dxa"/>
            </w:tcMar>
            <w:vAlign w:val="center"/>
          </w:tcPr>
          <w:p>
            <w:pPr>
              <w:pStyle w:val="Normal"/>
              <w:bidi w:val="0"/>
              <w:jc w:val="left"/>
              <w:rPr/>
            </w:pPr>
            <w:r>
              <w:rPr/>
            </w:r>
          </w:p>
        </w:tc>
        <w:tc>
          <w:tcPr>
            <w:tcW w:w="4576" w:type="dxa"/>
            <w:vMerge w:val="continue"/>
            <w:tcBorders>
              <w:bottom w:val="single" w:sz="4" w:space="0" w:color="7855FA"/>
            </w:tcBorders>
            <w:tcMar>
              <w:top w:w="0" w:type="dxa"/>
              <w:left w:w="0" w:type="dxa"/>
              <w:right w:w="0" w:type="dxa"/>
            </w:tcMar>
            <w:vAlign w:val="center"/>
          </w:tcPr>
          <w:p>
            <w:pPr>
              <w:pStyle w:val="Normal"/>
              <w:bidi w:val="0"/>
              <w:jc w:val="left"/>
              <w:rPr/>
            </w:pPr>
            <w:r>
              <w:rPr/>
            </w:r>
          </w:p>
        </w:tc>
      </w:tr>
      <w:tr>
        <w:trPr/>
        <w:tc>
          <w:tcPr>
            <w:tcW w:w="1609" w:type="dxa"/>
            <w:tcBorders/>
            <w:tcMar>
              <w:top w:w="0" w:type="dxa"/>
              <w:left w:w="0" w:type="dxa"/>
              <w:bottom w:w="0" w:type="dxa"/>
              <w:right w:w="0" w:type="dxa"/>
            </w:tcMar>
            <w:vAlign w:val="center"/>
          </w:tcPr>
          <w:p>
            <w:pPr>
              <w:pStyle w:val="TableContents"/>
              <w:bidi w:val="0"/>
              <w:spacing w:before="0" w:after="283"/>
              <w:ind w:left="0" w:right="0" w:firstLine="58"/>
              <w:jc w:val="left"/>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FY27 ARR (25%)</w:t>
            </w:r>
          </w:p>
        </w:tc>
        <w:tc>
          <w:tcPr>
            <w:tcW w:w="146" w:type="dxa"/>
            <w:vMerge w:val="continue"/>
            <w:tcBorders>
              <w:bottom w:val="single" w:sz="4" w:space="0" w:color="7855FA"/>
            </w:tcBorders>
            <w:tcMar>
              <w:top w:w="0" w:type="dxa"/>
              <w:left w:w="0" w:type="dxa"/>
              <w:right w:w="0" w:type="dxa"/>
            </w:tcMar>
            <w:vAlign w:val="center"/>
          </w:tcPr>
          <w:p>
            <w:pPr>
              <w:pStyle w:val="Normal"/>
              <w:bidi w:val="0"/>
              <w:jc w:val="left"/>
              <w:rPr/>
            </w:pPr>
            <w:r>
              <w:rPr/>
            </w:r>
          </w:p>
        </w:tc>
        <w:tc>
          <w:tcPr>
            <w:tcW w:w="1306" w:type="dxa"/>
            <w:vMerge w:val="continue"/>
            <w:tcBorders>
              <w:bottom w:val="single" w:sz="4" w:space="0" w:color="7855FA"/>
            </w:tcBorders>
            <w:tcMar>
              <w:top w:w="0" w:type="dxa"/>
              <w:left w:w="0" w:type="dxa"/>
              <w:right w:w="0" w:type="dxa"/>
            </w:tcMar>
            <w:vAlign w:val="center"/>
          </w:tcPr>
          <w:p>
            <w:pPr>
              <w:pStyle w:val="Normal"/>
              <w:bidi w:val="0"/>
              <w:jc w:val="left"/>
              <w:rPr/>
            </w:pPr>
            <w:r>
              <w:rPr/>
            </w:r>
          </w:p>
        </w:tc>
        <w:tc>
          <w:tcPr>
            <w:tcW w:w="146" w:type="dxa"/>
            <w:vMerge w:val="continue"/>
            <w:tcBorders>
              <w:bottom w:val="single" w:sz="4" w:space="0" w:color="7855FA"/>
            </w:tcBorders>
            <w:tcMar>
              <w:top w:w="0" w:type="dxa"/>
              <w:left w:w="0" w:type="dxa"/>
              <w:right w:w="0" w:type="dxa"/>
            </w:tcMar>
            <w:vAlign w:val="center"/>
          </w:tcPr>
          <w:p>
            <w:pPr>
              <w:pStyle w:val="Normal"/>
              <w:bidi w:val="0"/>
              <w:jc w:val="left"/>
              <w:rPr/>
            </w:pPr>
            <w:r>
              <w:rPr/>
            </w:r>
          </w:p>
        </w:tc>
        <w:tc>
          <w:tcPr>
            <w:tcW w:w="2031" w:type="dxa"/>
            <w:vMerge w:val="continue"/>
            <w:tcBorders>
              <w:bottom w:val="single" w:sz="4" w:space="0" w:color="7855FA"/>
            </w:tcBorders>
            <w:tcMar>
              <w:top w:w="0" w:type="dxa"/>
              <w:left w:w="0" w:type="dxa"/>
              <w:right w:w="0" w:type="dxa"/>
            </w:tcMar>
            <w:vAlign w:val="center"/>
          </w:tcPr>
          <w:p>
            <w:pPr>
              <w:pStyle w:val="Normal"/>
              <w:bidi w:val="0"/>
              <w:jc w:val="left"/>
              <w:rPr/>
            </w:pPr>
            <w:r>
              <w:rPr/>
            </w:r>
          </w:p>
        </w:tc>
        <w:tc>
          <w:tcPr>
            <w:tcW w:w="391" w:type="dxa"/>
            <w:vMerge w:val="continue"/>
            <w:tcBorders>
              <w:bottom w:val="single" w:sz="4" w:space="0" w:color="7855FA"/>
            </w:tcBorders>
            <w:tcMar>
              <w:top w:w="0" w:type="dxa"/>
              <w:left w:w="0" w:type="dxa"/>
              <w:right w:w="0" w:type="dxa"/>
            </w:tcMar>
            <w:vAlign w:val="center"/>
          </w:tcPr>
          <w:p>
            <w:pPr>
              <w:pStyle w:val="Normal"/>
              <w:bidi w:val="0"/>
              <w:jc w:val="left"/>
              <w:rPr/>
            </w:pPr>
            <w:r>
              <w:rPr/>
            </w:r>
          </w:p>
        </w:tc>
        <w:tc>
          <w:tcPr>
            <w:tcW w:w="4576" w:type="dxa"/>
            <w:vMerge w:val="continue"/>
            <w:tcBorders>
              <w:bottom w:val="single" w:sz="4" w:space="0" w:color="7855FA"/>
            </w:tcBorders>
            <w:tcMar>
              <w:top w:w="0" w:type="dxa"/>
              <w:left w:w="0" w:type="dxa"/>
              <w:right w:w="0" w:type="dxa"/>
            </w:tcMar>
            <w:vAlign w:val="center"/>
          </w:tcPr>
          <w:p>
            <w:pPr>
              <w:pStyle w:val="Normal"/>
              <w:bidi w:val="0"/>
              <w:jc w:val="left"/>
              <w:rPr/>
            </w:pPr>
            <w:r>
              <w:rPr/>
            </w:r>
          </w:p>
        </w:tc>
      </w:tr>
      <w:tr>
        <w:trPr/>
        <w:tc>
          <w:tcPr>
            <w:tcW w:w="1609" w:type="dxa"/>
            <w:tcBorders/>
            <w:tcMar>
              <w:top w:w="0" w:type="dxa"/>
              <w:left w:w="0" w:type="dxa"/>
              <w:bottom w:w="0" w:type="dxa"/>
              <w:right w:w="0" w:type="dxa"/>
            </w:tcMar>
            <w:vAlign w:val="center"/>
          </w:tcPr>
          <w:p>
            <w:pPr>
              <w:pStyle w:val="TableContents"/>
              <w:bidi w:val="0"/>
              <w:spacing w:before="0" w:after="283"/>
              <w:ind w:left="0" w:right="0" w:firstLine="58"/>
              <w:jc w:val="left"/>
              <w:rPr/>
            </w:pPr>
            <w:r>
              <w:rPr/>
              <w:t> </w:t>
            </w:r>
          </w:p>
        </w:tc>
        <w:tc>
          <w:tcPr>
            <w:tcW w:w="146" w:type="dxa"/>
            <w:vMerge w:val="continue"/>
            <w:tcBorders>
              <w:bottom w:val="single" w:sz="4" w:space="0" w:color="7855FA"/>
            </w:tcBorders>
            <w:tcMar>
              <w:top w:w="0" w:type="dxa"/>
              <w:left w:w="0" w:type="dxa"/>
              <w:right w:w="0" w:type="dxa"/>
            </w:tcMar>
            <w:vAlign w:val="center"/>
          </w:tcPr>
          <w:p>
            <w:pPr>
              <w:pStyle w:val="Normal"/>
              <w:bidi w:val="0"/>
              <w:jc w:val="left"/>
              <w:rPr/>
            </w:pPr>
            <w:r>
              <w:rPr/>
            </w:r>
          </w:p>
        </w:tc>
        <w:tc>
          <w:tcPr>
            <w:tcW w:w="1306" w:type="dxa"/>
            <w:vMerge w:val="continue"/>
            <w:tcBorders>
              <w:bottom w:val="single" w:sz="4" w:space="0" w:color="7855FA"/>
            </w:tcBorders>
            <w:tcMar>
              <w:top w:w="0" w:type="dxa"/>
              <w:left w:w="0" w:type="dxa"/>
              <w:right w:w="0" w:type="dxa"/>
            </w:tcMar>
            <w:vAlign w:val="center"/>
          </w:tcPr>
          <w:p>
            <w:pPr>
              <w:pStyle w:val="Normal"/>
              <w:bidi w:val="0"/>
              <w:jc w:val="left"/>
              <w:rPr/>
            </w:pPr>
            <w:r>
              <w:rPr/>
            </w:r>
          </w:p>
        </w:tc>
        <w:tc>
          <w:tcPr>
            <w:tcW w:w="146" w:type="dxa"/>
            <w:vMerge w:val="continue"/>
            <w:tcBorders>
              <w:bottom w:val="single" w:sz="4" w:space="0" w:color="7855FA"/>
            </w:tcBorders>
            <w:tcMar>
              <w:top w:w="0" w:type="dxa"/>
              <w:left w:w="0" w:type="dxa"/>
              <w:right w:w="0" w:type="dxa"/>
            </w:tcMar>
            <w:vAlign w:val="center"/>
          </w:tcPr>
          <w:p>
            <w:pPr>
              <w:pStyle w:val="Normal"/>
              <w:bidi w:val="0"/>
              <w:jc w:val="left"/>
              <w:rPr/>
            </w:pPr>
            <w:r>
              <w:rPr/>
            </w:r>
          </w:p>
        </w:tc>
        <w:tc>
          <w:tcPr>
            <w:tcW w:w="2031" w:type="dxa"/>
            <w:vMerge w:val="continue"/>
            <w:tcBorders>
              <w:bottom w:val="single" w:sz="4" w:space="0" w:color="7855FA"/>
            </w:tcBorders>
            <w:tcMar>
              <w:top w:w="0" w:type="dxa"/>
              <w:left w:w="0" w:type="dxa"/>
              <w:right w:w="0" w:type="dxa"/>
            </w:tcMar>
            <w:vAlign w:val="center"/>
          </w:tcPr>
          <w:p>
            <w:pPr>
              <w:pStyle w:val="Normal"/>
              <w:bidi w:val="0"/>
              <w:jc w:val="left"/>
              <w:rPr/>
            </w:pPr>
            <w:r>
              <w:rPr/>
            </w:r>
          </w:p>
        </w:tc>
        <w:tc>
          <w:tcPr>
            <w:tcW w:w="391" w:type="dxa"/>
            <w:vMerge w:val="continue"/>
            <w:tcBorders>
              <w:bottom w:val="single" w:sz="4" w:space="0" w:color="7855FA"/>
            </w:tcBorders>
            <w:tcMar>
              <w:top w:w="0" w:type="dxa"/>
              <w:left w:w="0" w:type="dxa"/>
              <w:right w:w="0" w:type="dxa"/>
            </w:tcMar>
            <w:vAlign w:val="center"/>
          </w:tcPr>
          <w:p>
            <w:pPr>
              <w:pStyle w:val="Normal"/>
              <w:bidi w:val="0"/>
              <w:jc w:val="left"/>
              <w:rPr/>
            </w:pPr>
            <w:r>
              <w:rPr/>
            </w:r>
          </w:p>
        </w:tc>
        <w:tc>
          <w:tcPr>
            <w:tcW w:w="4576" w:type="dxa"/>
            <w:vMerge w:val="continue"/>
            <w:tcBorders>
              <w:bottom w:val="single" w:sz="4" w:space="0" w:color="7855FA"/>
            </w:tcBorders>
            <w:tcMar>
              <w:top w:w="0" w:type="dxa"/>
              <w:left w:w="0" w:type="dxa"/>
              <w:right w:w="0" w:type="dxa"/>
            </w:tcMar>
            <w:vAlign w:val="center"/>
          </w:tcPr>
          <w:p>
            <w:pPr>
              <w:pStyle w:val="Normal"/>
              <w:bidi w:val="0"/>
              <w:jc w:val="left"/>
              <w:rPr/>
            </w:pPr>
            <w:r>
              <w:rPr/>
            </w:r>
          </w:p>
        </w:tc>
      </w:tr>
      <w:tr>
        <w:trPr/>
        <w:tc>
          <w:tcPr>
            <w:tcW w:w="1609" w:type="dxa"/>
            <w:tcBorders>
              <w:bottom w:val="single" w:sz="4" w:space="0" w:color="7855FA"/>
            </w:tcBorders>
            <w:tcMar>
              <w:top w:w="0" w:type="dxa"/>
              <w:left w:w="0" w:type="dxa"/>
              <w:right w:w="0" w:type="dxa"/>
            </w:tcMar>
            <w:vAlign w:val="center"/>
          </w:tcPr>
          <w:p>
            <w:pPr>
              <w:pStyle w:val="TableContents"/>
              <w:bidi w:val="0"/>
              <w:spacing w:before="0" w:after="283"/>
              <w:ind w:left="0" w:right="0" w:firstLine="58"/>
              <w:jc w:val="left"/>
              <w:rPr/>
            </w:pPr>
            <w:r>
              <w:rPr/>
              <w:t> </w:t>
            </w:r>
          </w:p>
        </w:tc>
        <w:tc>
          <w:tcPr>
            <w:tcW w:w="146" w:type="dxa"/>
            <w:vMerge w:val="continue"/>
            <w:tcBorders>
              <w:bottom w:val="single" w:sz="4" w:space="0" w:color="7855FA"/>
            </w:tcBorders>
            <w:tcMar>
              <w:top w:w="0" w:type="dxa"/>
              <w:left w:w="0" w:type="dxa"/>
              <w:right w:w="0" w:type="dxa"/>
            </w:tcMar>
            <w:vAlign w:val="center"/>
          </w:tcPr>
          <w:p>
            <w:pPr>
              <w:pStyle w:val="Normal"/>
              <w:bidi w:val="0"/>
              <w:jc w:val="left"/>
              <w:rPr/>
            </w:pPr>
            <w:r>
              <w:rPr/>
            </w:r>
          </w:p>
        </w:tc>
        <w:tc>
          <w:tcPr>
            <w:tcW w:w="1306" w:type="dxa"/>
            <w:vMerge w:val="continue"/>
            <w:tcBorders>
              <w:bottom w:val="single" w:sz="4" w:space="0" w:color="7855FA"/>
            </w:tcBorders>
            <w:tcMar>
              <w:top w:w="0" w:type="dxa"/>
              <w:left w:w="0" w:type="dxa"/>
              <w:right w:w="0" w:type="dxa"/>
            </w:tcMar>
            <w:vAlign w:val="center"/>
          </w:tcPr>
          <w:p>
            <w:pPr>
              <w:pStyle w:val="Normal"/>
              <w:bidi w:val="0"/>
              <w:jc w:val="left"/>
              <w:rPr/>
            </w:pPr>
            <w:r>
              <w:rPr/>
            </w:r>
          </w:p>
        </w:tc>
        <w:tc>
          <w:tcPr>
            <w:tcW w:w="146" w:type="dxa"/>
            <w:vMerge w:val="continue"/>
            <w:tcBorders>
              <w:bottom w:val="single" w:sz="4" w:space="0" w:color="7855FA"/>
            </w:tcBorders>
            <w:tcMar>
              <w:top w:w="0" w:type="dxa"/>
              <w:left w:w="0" w:type="dxa"/>
              <w:right w:w="0" w:type="dxa"/>
            </w:tcMar>
            <w:vAlign w:val="center"/>
          </w:tcPr>
          <w:p>
            <w:pPr>
              <w:pStyle w:val="Normal"/>
              <w:bidi w:val="0"/>
              <w:jc w:val="left"/>
              <w:rPr/>
            </w:pPr>
            <w:r>
              <w:rPr/>
            </w:r>
          </w:p>
        </w:tc>
        <w:tc>
          <w:tcPr>
            <w:tcW w:w="2031" w:type="dxa"/>
            <w:vMerge w:val="continue"/>
            <w:tcBorders>
              <w:bottom w:val="single" w:sz="4" w:space="0" w:color="7855FA"/>
            </w:tcBorders>
            <w:tcMar>
              <w:top w:w="0" w:type="dxa"/>
              <w:left w:w="0" w:type="dxa"/>
              <w:right w:w="0" w:type="dxa"/>
            </w:tcMar>
            <w:vAlign w:val="center"/>
          </w:tcPr>
          <w:p>
            <w:pPr>
              <w:pStyle w:val="Normal"/>
              <w:bidi w:val="0"/>
              <w:jc w:val="left"/>
              <w:rPr/>
            </w:pPr>
            <w:r>
              <w:rPr/>
            </w:r>
          </w:p>
        </w:tc>
        <w:tc>
          <w:tcPr>
            <w:tcW w:w="391" w:type="dxa"/>
            <w:vMerge w:val="continue"/>
            <w:tcBorders>
              <w:bottom w:val="single" w:sz="4" w:space="0" w:color="7855FA"/>
            </w:tcBorders>
            <w:tcMar>
              <w:top w:w="0" w:type="dxa"/>
              <w:left w:w="0" w:type="dxa"/>
              <w:right w:w="0" w:type="dxa"/>
            </w:tcMar>
            <w:vAlign w:val="center"/>
          </w:tcPr>
          <w:p>
            <w:pPr>
              <w:pStyle w:val="Normal"/>
              <w:bidi w:val="0"/>
              <w:jc w:val="left"/>
              <w:rPr/>
            </w:pPr>
            <w:r>
              <w:rPr/>
            </w:r>
          </w:p>
        </w:tc>
        <w:tc>
          <w:tcPr>
            <w:tcW w:w="4576" w:type="dxa"/>
            <w:vMerge w:val="continue"/>
            <w:tcBorders>
              <w:bottom w:val="single" w:sz="4" w:space="0" w:color="7855FA"/>
            </w:tcBorders>
            <w:tcMar>
              <w:top w:w="0" w:type="dxa"/>
              <w:left w:w="0" w:type="dxa"/>
              <w:right w:w="0" w:type="dxa"/>
            </w:tcMar>
            <w:vAlign w:val="center"/>
          </w:tcPr>
          <w:p>
            <w:pPr>
              <w:pStyle w:val="Normal"/>
              <w:bidi w:val="0"/>
              <w:jc w:val="left"/>
              <w:rPr/>
            </w:pPr>
            <w:r>
              <w:rPr/>
            </w:r>
          </w:p>
        </w:tc>
      </w:tr>
      <w:tr>
        <w:trPr/>
        <w:tc>
          <w:tcPr>
            <w:tcW w:w="1609" w:type="dxa"/>
            <w:tcBorders>
              <w:bottom w:val="single" w:sz="4" w:space="0" w:color="7855FA"/>
            </w:tcBorders>
            <w:tcMar>
              <w:top w:w="0" w:type="dxa"/>
              <w:left w:w="0" w:type="dxa"/>
              <w:right w:w="0" w:type="dxa"/>
            </w:tcMar>
            <w:vAlign w:val="center"/>
          </w:tcPr>
          <w:p>
            <w:pPr>
              <w:pStyle w:val="TableContents"/>
              <w:bidi w:val="0"/>
              <w:spacing w:before="0" w:after="283"/>
              <w:ind w:left="0" w:right="0" w:firstLine="58"/>
              <w:jc w:val="left"/>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FY27 Free Cash Flow (25%)</w:t>
            </w:r>
          </w:p>
        </w:tc>
        <w:tc>
          <w:tcPr>
            <w:tcW w:w="146" w:type="dxa"/>
            <w:vMerge w:val="continue"/>
            <w:tcBorders>
              <w:bottom w:val="single" w:sz="4" w:space="0" w:color="7855FA"/>
            </w:tcBorders>
            <w:tcMar>
              <w:top w:w="0" w:type="dxa"/>
              <w:left w:w="0" w:type="dxa"/>
              <w:right w:w="0" w:type="dxa"/>
            </w:tcMar>
            <w:vAlign w:val="center"/>
          </w:tcPr>
          <w:p>
            <w:pPr>
              <w:pStyle w:val="Normal"/>
              <w:bidi w:val="0"/>
              <w:jc w:val="left"/>
              <w:rPr/>
            </w:pPr>
            <w:r>
              <w:rPr/>
            </w:r>
          </w:p>
        </w:tc>
        <w:tc>
          <w:tcPr>
            <w:tcW w:w="1306" w:type="dxa"/>
            <w:vMerge w:val="continue"/>
            <w:tcBorders>
              <w:bottom w:val="single" w:sz="4" w:space="0" w:color="7855FA"/>
            </w:tcBorders>
            <w:tcMar>
              <w:top w:w="0" w:type="dxa"/>
              <w:left w:w="0" w:type="dxa"/>
              <w:right w:w="0" w:type="dxa"/>
            </w:tcMar>
            <w:vAlign w:val="center"/>
          </w:tcPr>
          <w:p>
            <w:pPr>
              <w:pStyle w:val="Normal"/>
              <w:bidi w:val="0"/>
              <w:jc w:val="left"/>
              <w:rPr/>
            </w:pPr>
            <w:r>
              <w:rPr/>
            </w:r>
          </w:p>
        </w:tc>
        <w:tc>
          <w:tcPr>
            <w:tcW w:w="146" w:type="dxa"/>
            <w:vMerge w:val="continue"/>
            <w:tcBorders>
              <w:bottom w:val="single" w:sz="4" w:space="0" w:color="7855FA"/>
            </w:tcBorders>
            <w:tcMar>
              <w:top w:w="0" w:type="dxa"/>
              <w:left w:w="0" w:type="dxa"/>
              <w:right w:w="0" w:type="dxa"/>
            </w:tcMar>
            <w:vAlign w:val="center"/>
          </w:tcPr>
          <w:p>
            <w:pPr>
              <w:pStyle w:val="Normal"/>
              <w:bidi w:val="0"/>
              <w:jc w:val="left"/>
              <w:rPr/>
            </w:pPr>
            <w:r>
              <w:rPr/>
            </w:r>
          </w:p>
        </w:tc>
        <w:tc>
          <w:tcPr>
            <w:tcW w:w="2031" w:type="dxa"/>
            <w:vMerge w:val="continue"/>
            <w:tcBorders>
              <w:bottom w:val="single" w:sz="4" w:space="0" w:color="7855FA"/>
            </w:tcBorders>
            <w:tcMar>
              <w:top w:w="0" w:type="dxa"/>
              <w:left w:w="0" w:type="dxa"/>
              <w:right w:w="0" w:type="dxa"/>
            </w:tcMar>
            <w:vAlign w:val="center"/>
          </w:tcPr>
          <w:p>
            <w:pPr>
              <w:pStyle w:val="Normal"/>
              <w:bidi w:val="0"/>
              <w:jc w:val="left"/>
              <w:rPr/>
            </w:pPr>
            <w:r>
              <w:rPr/>
            </w:r>
          </w:p>
        </w:tc>
        <w:tc>
          <w:tcPr>
            <w:tcW w:w="391" w:type="dxa"/>
            <w:vMerge w:val="continue"/>
            <w:tcBorders>
              <w:bottom w:val="single" w:sz="4" w:space="0" w:color="7855FA"/>
            </w:tcBorders>
            <w:tcMar>
              <w:top w:w="0" w:type="dxa"/>
              <w:left w:w="0" w:type="dxa"/>
              <w:right w:w="0" w:type="dxa"/>
            </w:tcMar>
            <w:vAlign w:val="center"/>
          </w:tcPr>
          <w:p>
            <w:pPr>
              <w:pStyle w:val="Normal"/>
              <w:bidi w:val="0"/>
              <w:jc w:val="left"/>
              <w:rPr/>
            </w:pPr>
            <w:r>
              <w:rPr/>
            </w:r>
          </w:p>
        </w:tc>
        <w:tc>
          <w:tcPr>
            <w:tcW w:w="4576" w:type="dxa"/>
            <w:vMerge w:val="continue"/>
            <w:tcBorders>
              <w:bottom w:val="single" w:sz="4" w:space="0" w:color="7855FA"/>
            </w:tcBorders>
            <w:tcMar>
              <w:top w:w="0" w:type="dxa"/>
              <w:left w:w="0" w:type="dxa"/>
              <w:right w:w="0" w:type="dxa"/>
            </w:tcMar>
            <w:vAlign w:val="center"/>
          </w:tcPr>
          <w:p>
            <w:pPr>
              <w:pStyle w:val="Normal"/>
              <w:bidi w:val="0"/>
              <w:jc w:val="left"/>
              <w:rPr/>
            </w:pPr>
            <w:r>
              <w:rPr/>
            </w:r>
          </w:p>
        </w:tc>
      </w:tr>
      <w:tr>
        <w:trPr/>
        <w:tc>
          <w:tcPr>
            <w:tcW w:w="1609" w:type="dxa"/>
            <w:tcBorders>
              <w:bottom w:val="single" w:sz="4" w:space="0" w:color="7855FA"/>
            </w:tcBorders>
            <w:tcMar>
              <w:top w:w="0" w:type="dxa"/>
              <w:left w:w="0" w:type="dxa"/>
              <w:right w:w="0" w:type="dxa"/>
            </w:tcMar>
            <w:vAlign w:val="center"/>
          </w:tcPr>
          <w:p>
            <w:pPr>
              <w:pStyle w:val="TableContents"/>
              <w:bidi w:val="0"/>
              <w:spacing w:before="120" w:after="120"/>
              <w:ind w:left="58" w:right="0" w:firstLine="58"/>
              <w:jc w:val="left"/>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Stock Price Hurdles (50%)</w:t>
            </w:r>
          </w:p>
        </w:tc>
        <w:tc>
          <w:tcPr>
            <w:tcW w:w="146" w:type="dxa"/>
            <w:tcBorders>
              <w:bottom w:val="single" w:sz="4" w:space="0" w:color="7855FA"/>
            </w:tcBorders>
            <w:tcMar>
              <w:top w:w="0" w:type="dxa"/>
              <w:left w:w="0" w:type="dxa"/>
              <w:right w:w="0" w:type="dxa"/>
            </w:tcMar>
            <w:vAlign w:val="center"/>
          </w:tcPr>
          <w:p>
            <w:pPr>
              <w:pStyle w:val="TableContents"/>
              <w:bidi w:val="0"/>
              <w:spacing w:before="120" w:after="283"/>
              <w:jc w:val="left"/>
              <w:rPr/>
            </w:pPr>
            <w:r>
              <w:rPr/>
              <w:t> </w:t>
            </w:r>
          </w:p>
        </w:tc>
        <w:tc>
          <w:tcPr>
            <w:tcW w:w="1306" w:type="dxa"/>
            <w:tcBorders>
              <w:bottom w:val="single" w:sz="4" w:space="0" w:color="7855FA"/>
            </w:tcBorders>
            <w:tcMar>
              <w:top w:w="0" w:type="dxa"/>
              <w:left w:w="0" w:type="dxa"/>
              <w:right w:w="0" w:type="dxa"/>
            </w:tcMar>
            <w:vAlign w:val="center"/>
          </w:tcPr>
          <w:p>
            <w:pPr>
              <w:pStyle w:val="TableContents"/>
              <w:bidi w:val="0"/>
              <w:spacing w:before="120" w:after="120"/>
              <w:jc w:val="left"/>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Stock Price</w:t>
            </w:r>
          </w:p>
        </w:tc>
        <w:tc>
          <w:tcPr>
            <w:tcW w:w="146" w:type="dxa"/>
            <w:tcBorders>
              <w:bottom w:val="single" w:sz="4" w:space="0" w:color="7855FA"/>
            </w:tcBorders>
            <w:tcMar>
              <w:top w:w="0" w:type="dxa"/>
              <w:left w:w="0" w:type="dxa"/>
              <w:right w:w="0" w:type="dxa"/>
            </w:tcMar>
            <w:vAlign w:val="center"/>
          </w:tcPr>
          <w:p>
            <w:pPr>
              <w:pStyle w:val="TableContents"/>
              <w:bidi w:val="0"/>
              <w:spacing w:before="120" w:after="283"/>
              <w:jc w:val="left"/>
              <w:rPr/>
            </w:pPr>
            <w:r>
              <w:rPr/>
              <w:t> </w:t>
            </w:r>
          </w:p>
        </w:tc>
        <w:tc>
          <w:tcPr>
            <w:tcW w:w="2031" w:type="dxa"/>
            <w:tcBorders>
              <w:bottom w:val="single" w:sz="4" w:space="0" w:color="7855FA"/>
            </w:tcBorders>
            <w:tcMar>
              <w:top w:w="0" w:type="dxa"/>
              <w:left w:w="0" w:type="dxa"/>
              <w:right w:w="0" w:type="dxa"/>
            </w:tcMar>
            <w:vAlign w:val="center"/>
          </w:tcPr>
          <w:p>
            <w:pPr>
              <w:pStyle w:val="TableContents"/>
              <w:bidi w:val="0"/>
              <w:spacing w:before="0" w:after="283"/>
              <w:ind w:left="0" w:right="0" w:firstLine="160"/>
              <w:jc w:val="center"/>
              <w:rPr/>
            </w:pPr>
            <w:r>
              <w:rPr/>
              <w:drawing>
                <wp:inline distT="0" distB="0" distL="0" distR="0">
                  <wp:extent cx="1133475" cy="809625"/>
                  <wp:effectExtent l="0" t="0" r="0" b="0"/>
                  <wp:docPr id="196"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85" descr=""/>
                          <pic:cNvPicPr>
                            <a:picLocks noChangeAspect="1" noChangeArrowheads="1"/>
                          </pic:cNvPicPr>
                        </pic:nvPicPr>
                        <pic:blipFill>
                          <a:blip r:embed="rId189"/>
                          <a:stretch>
                            <a:fillRect/>
                          </a:stretch>
                        </pic:blipFill>
                        <pic:spPr bwMode="auto">
                          <a:xfrm>
                            <a:off x="0" y="0"/>
                            <a:ext cx="1133475" cy="809625"/>
                          </a:xfrm>
                          <a:prstGeom prst="rect">
                            <a:avLst/>
                          </a:prstGeom>
                        </pic:spPr>
                      </pic:pic>
                    </a:graphicData>
                  </a:graphic>
                </wp:inline>
              </w:drawing>
            </w:r>
          </w:p>
        </w:tc>
        <w:tc>
          <w:tcPr>
            <w:tcW w:w="391" w:type="dxa"/>
            <w:tcBorders>
              <w:bottom w:val="single" w:sz="4" w:space="0" w:color="7855FA"/>
            </w:tcBorders>
            <w:tcMar>
              <w:top w:w="0" w:type="dxa"/>
              <w:left w:w="0" w:type="dxa"/>
              <w:right w:w="0" w:type="dxa"/>
            </w:tcMar>
            <w:vAlign w:val="center"/>
          </w:tcPr>
          <w:p>
            <w:pPr>
              <w:pStyle w:val="TableContents"/>
              <w:pBdr/>
              <w:bidi w:val="0"/>
              <w:spacing w:before="120" w:after="283"/>
              <w:ind w:left="0" w:right="0" w:firstLine="245"/>
              <w:jc w:val="left"/>
              <w:rPr/>
            </w:pPr>
            <w:r>
              <w:rPr/>
              <w:t> </w:t>
            </w:r>
          </w:p>
        </w:tc>
        <w:tc>
          <w:tcPr>
            <w:tcW w:w="4576" w:type="dxa"/>
            <w:tcBorders>
              <w:bottom w:val="single" w:sz="4" w:space="0" w:color="7855FA"/>
            </w:tcBorders>
            <w:tcMar>
              <w:top w:w="0" w:type="dxa"/>
              <w:left w:w="0" w:type="dxa"/>
              <w:right w:w="0" w:type="dxa"/>
            </w:tcMar>
            <w:vAlign w:val="center"/>
          </w:tcPr>
          <w:p>
            <w:pPr>
              <w:pStyle w:val="TableContents"/>
              <w:bidi w:val="0"/>
              <w:spacing w:before="60" w:after="283"/>
              <w:jc w:val="left"/>
              <w:rPr>
                <w:color w:val="7855FA"/>
              </w:rPr>
            </w:pPr>
            <w:r>
              <w:rPr>
                <w:color w:val="7855FA"/>
              </w:rPr>
              <w:t>•</w:t>
            </w:r>
          </w:p>
          <w:p>
            <w:pPr>
              <w:pStyle w:val="TableContents"/>
              <w:bidi w:val="0"/>
              <w:spacing w:before="60" w:after="283"/>
              <w:jc w:val="left"/>
              <w:rPr>
                <w:rFonts w:ascii="Montserrat;sans-serif" w:hAnsi="Montserrat;sans-serif"/>
                <w:color w:val="000000"/>
                <w:sz w:val="18"/>
              </w:rPr>
            </w:pPr>
            <w:r>
              <w:rPr>
                <w:rFonts w:ascii="Montserrat;sans-serif" w:hAnsi="Montserrat;sans-serif"/>
                <w:color w:val="000000"/>
                <w:sz w:val="18"/>
              </w:rPr>
              <w:t>Stock price performance aligns with stockholder returns.</w:t>
            </w:r>
          </w:p>
          <w:p>
            <w:pPr>
              <w:pStyle w:val="TableContents"/>
              <w:bidi w:val="0"/>
              <w:spacing w:before="60" w:after="283"/>
              <w:jc w:val="left"/>
              <w:rPr>
                <w:color w:val="7855FA"/>
              </w:rPr>
            </w:pPr>
            <w:r>
              <w:rPr>
                <w:color w:val="7855FA"/>
              </w:rPr>
              <w:t>•</w:t>
            </w:r>
          </w:p>
          <w:p>
            <w:pPr>
              <w:pStyle w:val="TableContents"/>
              <w:bidi w:val="0"/>
              <w:spacing w:before="60" w:after="283"/>
              <w:jc w:val="left"/>
              <w:rPr>
                <w:rFonts w:ascii="Montserrat;sans-serif" w:hAnsi="Montserrat;sans-serif"/>
                <w:color w:val="000000"/>
                <w:sz w:val="18"/>
              </w:rPr>
            </w:pPr>
            <w:r>
              <w:rPr>
                <w:rFonts w:ascii="Montserrat;sans-serif" w:hAnsi="Montserrat;sans-serif"/>
                <w:color w:val="000000"/>
                <w:sz w:val="18"/>
              </w:rPr>
              <w:t>Stock price hurdles of $70, $80, and $90 (average closing price with no linear interpolation) must be achieved and sustained for 90 consecutive calendar days to drive a payout at the end of the performance period. Target and maximum hurdles represent implied compound annual growth rates (CAGRs) of 13% to 20% through the end of fiscal year 2027. In May 2025, the $70 stock price hurdle was achieved.</w:t>
            </w:r>
          </w:p>
          <w:p>
            <w:pPr>
              <w:pStyle w:val="TableContents"/>
              <w:bidi w:val="0"/>
              <w:spacing w:before="60" w:after="60"/>
              <w:jc w:val="left"/>
              <w:rPr>
                <w:color w:val="7855FA"/>
              </w:rPr>
            </w:pPr>
            <w:r>
              <w:rPr>
                <w:color w:val="7855FA"/>
              </w:rPr>
              <w:t>•</w:t>
            </w:r>
          </w:p>
          <w:p>
            <w:pPr>
              <w:pStyle w:val="TableContents"/>
              <w:bidi w:val="0"/>
              <w:spacing w:before="60" w:after="60"/>
              <w:jc w:val="left"/>
              <w:rPr>
                <w:rFonts w:ascii="Montserrat;sans-serif" w:hAnsi="Montserrat;sans-serif"/>
                <w:color w:val="000000"/>
                <w:sz w:val="18"/>
              </w:rPr>
            </w:pPr>
            <w:r>
              <w:rPr>
                <w:rFonts w:ascii="Montserrat;sans-serif" w:hAnsi="Montserrat;sans-serif"/>
                <w:color w:val="000000"/>
                <w:sz w:val="18"/>
              </w:rPr>
              <w:t>Payout on the stock price component of the award will be capped at target if our stock price is below the median of Nasdaq Composite companies over the performance period.</w:t>
            </w:r>
          </w:p>
        </w:tc>
      </w:tr>
    </w:tbl>
    <w:p>
      <w:pPr>
        <w:pStyle w:val="TextBody"/>
        <w:bidi w:val="0"/>
        <w:jc w:val="both"/>
        <w:rPr/>
      </w:pPr>
      <w:r>
        <w:rPr/>
        <w:t> </w:t>
      </w:r>
    </w:p>
    <w:p>
      <w:pPr>
        <w:pStyle w:val="TextBody"/>
        <w:bidi w:val="0"/>
        <w:spacing w:before="0" w:after="0"/>
        <w:jc w:val="both"/>
        <w:rPr>
          <w:rFonts w:ascii="Montserrat;sans-serif" w:hAnsi="Montserrat;sans-serif"/>
          <w:color w:val="000000"/>
          <w:sz w:val="16"/>
        </w:rPr>
      </w:pPr>
      <w:r>
        <w:rPr>
          <w:rFonts w:ascii="Montserrat;sans-serif" w:hAnsi="Montserrat;sans-serif"/>
          <w:color w:val="000000"/>
          <w:sz w:val="16"/>
        </w:rPr>
        <w:t>(1)</w:t>
      </w:r>
    </w:p>
    <w:p>
      <w:pPr>
        <w:pStyle w:val="TextBody"/>
        <w:bidi w:val="0"/>
        <w:jc w:val="both"/>
        <w:rPr>
          <w:rFonts w:ascii="Montserrat;sans-serif" w:hAnsi="Montserrat;sans-serif"/>
          <w:color w:val="000000"/>
          <w:sz w:val="16"/>
        </w:rPr>
      </w:pPr>
      <w:r>
        <w:rPr>
          <w:rFonts w:ascii="Montserrat;sans-serif" w:hAnsi="Montserrat;sans-serif"/>
          <w:color w:val="000000"/>
          <w:sz w:val="16"/>
        </w:rPr>
        <w:t xml:space="preserve">Beginning with the first quarter of fiscal year 2026, our methodology for calculating ARR for external reporting purposes was updated to align more closely with the timing of when licenses are made available to customers. For the purposes of evaluating performance against the ARR goal under this award, ARR will be calculated using the methodology that was in effect as of the grant date. </w:t>
      </w:r>
    </w:p>
    <w:p>
      <w:pPr>
        <w:pStyle w:val="TextBody"/>
        <w:bidi w:val="0"/>
        <w:jc w:val="both"/>
        <w:rPr/>
      </w:pPr>
      <w:r>
        <w:rPr/>
        <w:t> </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2641"/>
        <w:gridCol w:w="331"/>
      </w:tblGrid>
      <w:tr>
        <w:trPr/>
        <w:tc>
          <w:tcPr>
            <w:tcW w:w="26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197"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86" descr=""/>
                          <pic:cNvPicPr>
                            <a:picLocks noChangeAspect="1" noChangeArrowheads="1"/>
                          </pic:cNvPicPr>
                        </pic:nvPicPr>
                        <pic:blipFill>
                          <a:blip r:embed="rId190"/>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3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51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rFonts w:ascii="Montserrat;sans-serif" w:hAnsi="Montserrat;sans-serif"/>
          <w:color w:val="000000"/>
          <w:sz w:val="13"/>
        </w:rPr>
      </w:pPr>
      <w:r>
        <w:rPr>
          <w:rFonts w:ascii="Montserrat;sans-serif" w:hAnsi="Montserrat;sans-serif"/>
          <w:color w:val="000000"/>
          <w:sz w:val="13"/>
        </w:rPr>
        <w:t>Executive Compensation</w:t>
      </w:r>
    </w:p>
    <w:p>
      <w:pPr>
        <w:pStyle w:val="TextBody"/>
        <w:bidi w:val="0"/>
        <w:spacing w:before="60" w:after="283"/>
        <w:jc w:val="left"/>
        <w:rPr>
          <w:rFonts w:ascii="Montserrat;sans-serif" w:hAnsi="Montserrat;sans-serif"/>
          <w:color w:val="000000"/>
          <w:sz w:val="12"/>
        </w:rPr>
      </w:pPr>
      <w:r>
        <w:rPr>
          <w:rFonts w:ascii="Montserrat;sans-serif" w:hAnsi="Montserrat;sans-serif"/>
          <w:color w:val="000000"/>
          <w:sz w:val="12"/>
        </w:rPr>
        <w:t>Compensation Discussion and Analysis</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Severance and Change of Control-Related Benefits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During fiscal year 2026, each of our NEOs participated in our Executive Severance Policy and our Change of Control and Severance Policy.</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Our Executive Severance Policy provides eligible employees with protections in the event of the involuntary termination of their employment under circumstances not related to a change of control of our company. Our Change of Control and Severance Policy provides eligible employees with protections in the event of their involuntary termination of employment following a change of control of our company. In addition, our executive officers may have these provisions in their employment agreements.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We believe that these protections assist us in retaining our executive officers and allow them to maintain continued focus and dedication to their responsibilities to maximize stockholder value, including any potential transaction that could involve a change of control of our company. The terms of these agreements, our Executive Severance Policy, and our Change of Control and Severance Policy are evaluated periodically by our Board and the Compensation Committee against our retention objectives, a review of relevant market data prepared by the Compensation Committee’s compensation consultant, Compensia, and with consideration for our ability to attract and retain critical executive talent.</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For a summary of the material terms and conditions of these post-employment compensation arrangements, see the section titled “</w:t>
      </w:r>
      <w:r>
        <w:rPr>
          <w:rFonts w:ascii="Montserrat;sans-serif" w:hAnsi="Montserrat;sans-serif"/>
          <w:color w:val="7855FA"/>
          <w:sz w:val="18"/>
        </w:rPr>
        <w:t>Executive Compensation – Employment Arrangements</w:t>
      </w:r>
      <w:r>
        <w:rPr>
          <w:rFonts w:ascii="Montserrat;sans-serif" w:hAnsi="Montserrat;sans-serif"/>
          <w:color w:val="000000"/>
          <w:sz w:val="18"/>
        </w:rPr>
        <w:t>.”</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Compensation-Setting Process</w:t>
      </w:r>
    </w:p>
    <w:p>
      <w:pPr>
        <w:pStyle w:val="TextBody"/>
        <w:bidi w:val="0"/>
        <w:spacing w:before="360" w:after="283"/>
        <w:jc w:val="left"/>
        <w:rPr>
          <w:rFonts w:ascii="Montserrat;Montserrat Medium;sans-serif" w:hAnsi="Montserrat;Montserrat Medium;sans-serif"/>
          <w:b/>
          <w:color w:val="7855FA"/>
          <w:sz w:val="20"/>
        </w:rPr>
      </w:pPr>
      <w:r>
        <w:rPr>
          <w:rFonts w:ascii="Montserrat;Montserrat Medium;sans-serif" w:hAnsi="Montserrat;Montserrat Medium;sans-serif"/>
          <w:b/>
          <w:color w:val="7855FA"/>
          <w:sz w:val="20"/>
        </w:rPr>
        <w:t>Role of the Compensation Committee</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Pursuant to its charter, the Compensation Committee is primarily responsible for establishing, approving, and adjusting compensation arrangements for our executive officers, including our CEO and other NEOs, reviewing and approving corporate goals and objectives relevant to these compensation arrangements, evaluating executive performance against the backdrop of our corporate goals and objectives, and determining the long-term incentive component of our executive compensation arrangements in light of factors related to our performance, including accomplishment of our long-term business and financial goals. For additional information about the Compensation Committee, see the section titled “</w:t>
      </w:r>
      <w:r>
        <w:rPr>
          <w:rFonts w:ascii="Montserrat;sans-serif" w:hAnsi="Montserrat;sans-serif"/>
          <w:color w:val="7855FA"/>
          <w:sz w:val="18"/>
        </w:rPr>
        <w:t>Corporate Governance - Board of Directors and Its Committees - Compensation Committee</w:t>
      </w:r>
      <w:r>
        <w:rPr>
          <w:rFonts w:ascii="Montserrat;sans-serif" w:hAnsi="Montserrat;sans-serif"/>
          <w:color w:val="000000"/>
          <w:sz w:val="18"/>
        </w:rPr>
        <w:t>” in this proxy statement.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Compensation decisions for our executive officers are made by the Compensation Committee, with the input of its independent compensation consultant and our CEO and management team (except with respect to their own compensation). The Compensation Committee periodically reviews and, as necessary, adjusts the cash and equity compensation of our executive officers with the goal of ensuring that our executive officers are properly incentivized.</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Compensation Committee considers compensation data from our compensation peer group as one of several factors that inform its judgment of appropriate parameters for target compensation levels. The Compensation Committee, however, does not strictly benchmark compensation to a specific percentile of our compensation peer group, nor does it apply a formula or assign relative weights to specific compensation elements. In addition, while market data is a factor, the Compensation Committee is forward-looking in aligning our executive compensation program with the unique growth opportunity we believe we have, and the risks associated with pursuing the opportunity, which are not captured by reviewing peer data.</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Compensation Committee makes compensation decisions after considering several factors, including:</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each executive officer’s performance and experience;</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scope and strategic impact of the executive officer’s responsibilities and the criticality of the executive officer’s role to the performance of our company and achievement of our growth strategy long-term strategic objectives;</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our past business performance and future expectations;</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our long-term goals and strategies;</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performance of our executive team as a whole;</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for each executive officer, other than our CEO, the recommendation of our CEO based on an evaluation of his or her performance;</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301"/>
        <w:gridCol w:w="2671"/>
      </w:tblGrid>
      <w:tr>
        <w:trPr/>
        <w:tc>
          <w:tcPr>
            <w:tcW w:w="30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52</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198"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87" descr=""/>
                          <pic:cNvPicPr>
                            <a:picLocks noChangeAspect="1" noChangeArrowheads="1"/>
                          </pic:cNvPicPr>
                        </pic:nvPicPr>
                        <pic:blipFill>
                          <a:blip r:embed="rId191"/>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rFonts w:ascii="Montserrat;sans-serif" w:hAnsi="Montserrat;sans-serif"/>
          <w:color w:val="000000"/>
          <w:sz w:val="13"/>
        </w:rPr>
      </w:pPr>
      <w:r>
        <w:rPr>
          <w:rFonts w:ascii="Montserrat;sans-serif" w:hAnsi="Montserrat;sans-serif"/>
          <w:color w:val="000000"/>
          <w:sz w:val="13"/>
        </w:rPr>
        <w:t>Executive Compensation</w:t>
      </w:r>
    </w:p>
    <w:p>
      <w:pPr>
        <w:pStyle w:val="TextBody"/>
        <w:bidi w:val="0"/>
        <w:spacing w:before="60" w:after="283"/>
        <w:jc w:val="right"/>
        <w:rPr>
          <w:rFonts w:ascii="Montserrat;sans-serif" w:hAnsi="Montserrat;sans-serif"/>
          <w:color w:val="000000"/>
          <w:sz w:val="12"/>
        </w:rPr>
      </w:pPr>
      <w:r>
        <w:rPr>
          <w:rFonts w:ascii="Montserrat;sans-serif" w:hAnsi="Montserrat;sans-serif"/>
          <w:color w:val="000000"/>
          <w:sz w:val="12"/>
        </w:rPr>
        <w:t>Compensation Discussion and Analysis</w:t>
      </w:r>
    </w:p>
    <w:p>
      <w:pPr>
        <w:pStyle w:val="TextBody"/>
        <w:bidi w:val="0"/>
        <w:jc w:val="right"/>
        <w:rPr/>
      </w:pPr>
      <w:r>
        <w:rPr/>
        <w:t> </w:t>
      </w:r>
    </w:p>
    <w:p>
      <w:pPr>
        <w:pStyle w:val="TextBody"/>
        <w:bidi w:val="0"/>
        <w:jc w:val="right"/>
        <w:rPr/>
      </w:pPr>
      <w:r>
        <w:rPr/>
        <w:t> </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difficulty and cost of replacing high-performing leaders with in-demand skills;</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each executive officer’s tenure and past compensation levels, including existing unvested equity;</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internal equity of executive officers relative to one another; and</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competitiveness of compensation relative to our compensation peer group.</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Compensation Committee operates under a written charter adopted by our Board. A copy of the charter is posted on the investor relations section of our website located at http://ir.nutanix.com. Information contained on or accessible through our website is not incorporated by reference herein and is not a part of this proxy statement.</w:t>
      </w:r>
    </w:p>
    <w:p>
      <w:pPr>
        <w:pStyle w:val="TextBody"/>
        <w:bidi w:val="0"/>
        <w:spacing w:before="360" w:after="283"/>
        <w:jc w:val="left"/>
        <w:rPr>
          <w:rFonts w:ascii="Montserrat;Montserrat Medium;sans-serif" w:hAnsi="Montserrat;Montserrat Medium;sans-serif"/>
          <w:b/>
          <w:color w:val="7855FA"/>
          <w:sz w:val="20"/>
        </w:rPr>
      </w:pPr>
      <w:r>
        <w:rPr>
          <w:rFonts w:ascii="Montserrat;Montserrat Medium;sans-serif" w:hAnsi="Montserrat;Montserrat Medium;sans-serif"/>
          <w:b/>
          <w:color w:val="7855FA"/>
          <w:sz w:val="20"/>
        </w:rPr>
        <w:t>Role of Management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Compensation Committee works with members of our management team, including our CEO and our human resources, finance, and legal professionals (except with respect to their own compensation). Typically, our CEO makes recommendations to the Compensation Committee, regularly attends the Compensation Committee’s meetings, and is involved in the determination of compensation for our executive officers, except that our CEO does not make recommendations as to his own compensation. Because of his direct role overseeing our other executive officers, our CEO makes recommendations to the Compensation Committee regarding short-term and long-term compensation for all executive officers (other than himself) based on our results and aspirations, an individual executive officer’s actual contribution toward, and ability to contribute to the achievement of, these results and aspirations, and performance toward individual goal achievement. The Compensation Committee then reviews the recommendations and, based on their assessment and other pertinent information, makes decisions as to total compensation for each executive officer, as well as each individual compensation component.</w:t>
      </w:r>
    </w:p>
    <w:p>
      <w:pPr>
        <w:pStyle w:val="TextBody"/>
        <w:bidi w:val="0"/>
        <w:spacing w:before="360" w:after="283"/>
        <w:jc w:val="left"/>
        <w:rPr>
          <w:rFonts w:ascii="Montserrat;Montserrat Medium;sans-serif" w:hAnsi="Montserrat;Montserrat Medium;sans-serif"/>
          <w:b/>
          <w:color w:val="7855FA"/>
          <w:sz w:val="20"/>
        </w:rPr>
      </w:pPr>
      <w:r>
        <w:rPr>
          <w:rFonts w:ascii="Montserrat;Montserrat Medium;sans-serif" w:hAnsi="Montserrat;Montserrat Medium;sans-serif"/>
          <w:b/>
          <w:color w:val="7855FA"/>
          <w:sz w:val="20"/>
        </w:rPr>
        <w:t>Role of Compensation Consultant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Compensation Committee is authorized, in its sole discretion, to retain the services of one or more compensation consultants, outside legal counsel, and such other advisors as necessary to assist with the execution of its duties and responsibilities. For fiscal year 2026, the Compensation Committee engaged Compensia, a national compensation consulting firm, to conduct market research and analysis on our various executive positions, to assist the Compensation Committee in developing appropriate incentive plans for our executive officers on an annual basis, to provide the Compensation Committee with advice and ongoing recommendations regarding material executive compensation decisions, and to review compensation proposals of management. During fiscal year 2026, Compensia assisted the Compensation Committee in evaluating:</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companies in our compensation peer group;</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competitive compensation levels among peer companies for our executive leaders;</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short- and long-term incentive plan design;</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equity usage (burn rate/overhang);</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board compensation; and</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potential risks arising from our compensation philosophy and practices.</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As described above in the section titled “</w:t>
      </w:r>
      <w:r>
        <w:rPr>
          <w:rFonts w:ascii="Montserrat;sans-serif" w:hAnsi="Montserrat;sans-serif"/>
          <w:color w:val="7855FA"/>
          <w:sz w:val="18"/>
        </w:rPr>
        <w:t>Corporate Governance – Director Compensation – Non-Employee Director Compensation Policy</w:t>
      </w:r>
      <w:r>
        <w:rPr>
          <w:rFonts w:ascii="Montserrat;sans-serif" w:hAnsi="Montserrat;sans-serif"/>
          <w:color w:val="000000"/>
          <w:sz w:val="18"/>
        </w:rPr>
        <w:t>,” Compensia also annually provides, at the direction of the Compensation Committee, an analysis of the competitive position of our non-employee director compensation policy against the compensation peer group used for executive compensation purposes.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Based on consideration of the factors specified in the SEC rules and Nasdaq listing standards, the Compensation Committee does not believe that its relationship with Compensia and the work of Compensia on behalf of the Compensation Committee and our management team has raised any conflicts of interest. The Compensation Committee reviews these factors on an annual basis. As part of the Compensation Committee’s determination of Compensia’s independence for fiscal year 2026, it received written confirmation from Compensia addressing these factors and stating its belief that it remains an independent compensation consultant to the Compensation Committee.</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2641"/>
        <w:gridCol w:w="331"/>
      </w:tblGrid>
      <w:tr>
        <w:trPr/>
        <w:tc>
          <w:tcPr>
            <w:tcW w:w="26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199"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88" descr=""/>
                          <pic:cNvPicPr>
                            <a:picLocks noChangeAspect="1" noChangeArrowheads="1"/>
                          </pic:cNvPicPr>
                        </pic:nvPicPr>
                        <pic:blipFill>
                          <a:blip r:embed="rId192"/>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3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53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ind w:left="0" w:right="0" w:hanging="0"/>
        <w:jc w:val="left"/>
        <w:rPr>
          <w:rFonts w:ascii="Montserrat;sans-serif" w:hAnsi="Montserrat;sans-serif"/>
          <w:color w:val="000000"/>
          <w:sz w:val="13"/>
        </w:rPr>
      </w:pPr>
      <w:r>
        <w:rPr>
          <w:rFonts w:ascii="Montserrat;sans-serif" w:hAnsi="Montserrat;sans-serif"/>
          <w:color w:val="000000"/>
          <w:sz w:val="13"/>
        </w:rPr>
        <w:t>Executive Compensation</w:t>
      </w:r>
    </w:p>
    <w:p>
      <w:pPr>
        <w:pStyle w:val="TextBody"/>
        <w:bidi w:val="0"/>
        <w:spacing w:before="60" w:after="283"/>
        <w:jc w:val="left"/>
        <w:rPr>
          <w:rFonts w:ascii="Montserrat;sans-serif" w:hAnsi="Montserrat;sans-serif"/>
          <w:color w:val="000000"/>
          <w:sz w:val="12"/>
        </w:rPr>
      </w:pPr>
      <w:r>
        <w:rPr>
          <w:rFonts w:ascii="Montserrat;sans-serif" w:hAnsi="Montserrat;sans-serif"/>
          <w:color w:val="000000"/>
          <w:sz w:val="12"/>
        </w:rPr>
        <w:t>Compensation Discussion and Analysis</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Montserrat;Montserrat Medium;sans-serif" w:hAnsi="Montserrat;Montserrat Medium;sans-serif"/>
          <w:b/>
          <w:color w:val="7855FA"/>
          <w:sz w:val="20"/>
        </w:rPr>
      </w:pPr>
      <w:r>
        <w:rPr>
          <w:rFonts w:ascii="Montserrat;Montserrat Medium;sans-serif" w:hAnsi="Montserrat;Montserrat Medium;sans-serif"/>
          <w:b/>
          <w:color w:val="7855FA"/>
          <w:sz w:val="20"/>
        </w:rPr>
        <w:t>Compensation Peer Group</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Compensation Committee reviews compensation market data from companies that we believe are comparable to our company in order to provide insight on competitive pay practices and levels for executive talent. With Compensia’s assistance, the Compensation Committee developed a peer group for use when making its fiscal year 2026 compensation decisions, which consisted of publicly traded information technology companies with revenues and market capitalizations similar to that of our company and generally based in the United States, including companies based in California. While the Compensation Committee considers compensation practices of the peer companies, the Compensation Committee uses this information as one of many factors in its evaluation of compensation matters, as described above, and does not set compensation levels to meet specific percentiles.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Compensation Committee referred to compensation data from this peer group when making fiscal year 2026 base salary, annual incentive, and long-term equity incentive award decisions for our executive officers, including our NEOs.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Compensation Committee’s review of the peer group is a deliberate, criteria-based process conducted at least annually and informed by Compensia’s independent analysis. In June 2026, the Compensation Committee reviewed the compensation peer group to be used for compensation decision-making for fiscal year 2027. The Compensation Committee approved certain changes to the existing peer group based on relative size. Cloudflare, Datadog and Snowflake were removed based on their relative size. The Compensation Committee approved the addition of Akamai Technologies, Commvault Systems and DocuSign to the peer group for fiscal year 2027. Both the fiscal year 2026 and fiscal year 2027 compensation peer groups are detailed below.</w:t>
      </w:r>
    </w:p>
    <w:p>
      <w:pPr>
        <w:pStyle w:val="TextBody"/>
        <w:bidi w:val="0"/>
        <w:jc w:val="both"/>
        <w:rPr/>
      </w:pPr>
      <w:r>
        <w:rPr/>
        <w:t> </w:t>
      </w:r>
    </w:p>
    <w:tbl>
      <w:tblPr>
        <w:tblW w:w="7645" w:type="dxa"/>
        <w:jc w:val="left"/>
        <w:tblInd w:w="0" w:type="dxa"/>
        <w:tblLayout w:type="fixed"/>
        <w:tblCellMar>
          <w:top w:w="28" w:type="dxa"/>
          <w:left w:w="28" w:type="dxa"/>
          <w:bottom w:w="28" w:type="dxa"/>
          <w:right w:w="28" w:type="dxa"/>
        </w:tblCellMar>
      </w:tblPr>
      <w:tblGrid>
        <w:gridCol w:w="2164"/>
        <w:gridCol w:w="434"/>
        <w:gridCol w:w="2284"/>
        <w:gridCol w:w="434"/>
        <w:gridCol w:w="2329"/>
      </w:tblGrid>
      <w:tr>
        <w:trPr/>
        <w:tc>
          <w:tcPr>
            <w:tcW w:w="216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ind w:left="0" w:right="0" w:firstLine="288"/>
              <w:jc w:val="left"/>
              <w:rPr>
                <w:sz w:val="4"/>
                <w:szCs w:val="4"/>
              </w:rPr>
            </w:pPr>
            <w:r>
              <w:rPr>
                <w:sz w:val="4"/>
                <w:szCs w:val="4"/>
              </w:rPr>
            </w:r>
          </w:p>
        </w:tc>
      </w:tr>
      <w:tr>
        <w:trPr/>
        <w:tc>
          <w:tcPr>
            <w:tcW w:w="2164" w:type="dxa"/>
            <w:tcBorders>
              <w:top w:val="single" w:sz="18" w:space="0" w:color="7855FA"/>
              <w:left w:val="single" w:sz="18" w:space="0" w:color="7855FA"/>
              <w:bottom w:val="single" w:sz="18" w:space="0" w:color="7855FA"/>
              <w:right w:val="single" w:sz="18" w:space="0" w:color="7855FA"/>
            </w:tcBorders>
            <w:shd w:fill="7855FA" w:val="clear"/>
            <w:vAlign w:val="center"/>
          </w:tcPr>
          <w:p>
            <w:pPr>
              <w:pStyle w:val="TableContents"/>
              <w:bidi w:val="0"/>
              <w:spacing w:before="60" w:after="60"/>
              <w:ind w:left="288" w:right="0" w:firstLine="288"/>
              <w:jc w:val="left"/>
              <w:rPr>
                <w:rFonts w:ascii="Montserrat;sans-serif" w:hAnsi="Montserrat;sans-serif"/>
                <w:b/>
                <w:color w:val="FFFFFF"/>
                <w:sz w:val="18"/>
              </w:rPr>
            </w:pPr>
            <w:r>
              <w:rPr>
                <w:rFonts w:ascii="Montserrat;sans-serif" w:hAnsi="Montserrat;sans-serif"/>
                <w:b/>
                <w:color w:val="FFFFFF"/>
                <w:sz w:val="18"/>
              </w:rPr>
              <w:t>Fiscal Year 2026</w:t>
            </w:r>
          </w:p>
          <w:p>
            <w:pPr>
              <w:pStyle w:val="TableContents"/>
              <w:bidi w:val="0"/>
              <w:spacing w:before="0" w:after="60"/>
              <w:ind w:left="288" w:right="0" w:firstLine="288"/>
              <w:jc w:val="left"/>
              <w:rPr>
                <w:rFonts w:ascii="Montserrat;sans-serif" w:hAnsi="Montserrat;sans-serif"/>
                <w:b/>
                <w:color w:val="FFFFFF"/>
                <w:sz w:val="18"/>
              </w:rPr>
            </w:pPr>
            <w:r>
              <w:rPr>
                <w:rFonts w:ascii="Montserrat;sans-serif" w:hAnsi="Montserrat;sans-serif"/>
                <w:b/>
                <w:color w:val="FFFFFF"/>
                <w:sz w:val="18"/>
              </w:rPr>
              <w:t>Peer Group</w:t>
            </w:r>
          </w:p>
        </w:tc>
        <w:tc>
          <w:tcPr>
            <w:tcW w:w="434" w:type="dxa"/>
            <w:tcBorders>
              <w:top w:val="single" w:sz="18" w:space="0" w:color="000000"/>
            </w:tcBorders>
            <w:tcMar>
              <w:left w:w="0" w:type="dxa"/>
              <w:bottom w:w="0" w:type="dxa"/>
              <w:right w:w="0" w:type="dxa"/>
            </w:tcMar>
            <w:vAlign w:val="center"/>
          </w:tcPr>
          <w:p>
            <w:pPr>
              <w:pStyle w:val="TableContents"/>
              <w:bidi w:val="0"/>
              <w:spacing w:before="0" w:after="283"/>
              <w:jc w:val="left"/>
              <w:rPr/>
            </w:pPr>
            <w:r>
              <w:rPr/>
              <w:t> </w:t>
            </w:r>
          </w:p>
        </w:tc>
        <w:tc>
          <w:tcPr>
            <w:tcW w:w="2284" w:type="dxa"/>
            <w:tcBorders/>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right w:val="single" w:sz="18" w:space="0" w:color="7855FA"/>
            </w:tcBorders>
            <w:tcMar>
              <w:top w:w="0" w:type="dxa"/>
              <w:left w:w="0" w:type="dxa"/>
              <w:bottom w:w="0" w:type="dxa"/>
            </w:tcMar>
            <w:vAlign w:val="center"/>
          </w:tcPr>
          <w:p>
            <w:pPr>
              <w:pStyle w:val="TableContents"/>
              <w:bidi w:val="0"/>
              <w:spacing w:before="0" w:after="283"/>
              <w:ind w:left="0" w:right="0" w:firstLine="288"/>
              <w:jc w:val="left"/>
              <w:rPr/>
            </w:pPr>
            <w:r>
              <w:rPr/>
              <w:t> </w:t>
            </w:r>
          </w:p>
        </w:tc>
        <w:tc>
          <w:tcPr>
            <w:tcW w:w="2329" w:type="dxa"/>
            <w:tcBorders>
              <w:top w:val="single" w:sz="18" w:space="0" w:color="7855FA"/>
              <w:right w:val="single" w:sz="18" w:space="0" w:color="7855FA"/>
            </w:tcBorders>
            <w:shd w:fill="7855FA" w:val="clear"/>
            <w:tcMar>
              <w:left w:w="0" w:type="dxa"/>
              <w:bottom w:w="0" w:type="dxa"/>
            </w:tcMar>
            <w:vAlign w:val="center"/>
          </w:tcPr>
          <w:p>
            <w:pPr>
              <w:pStyle w:val="TableContents"/>
              <w:bidi w:val="0"/>
              <w:spacing w:before="60" w:after="60"/>
              <w:ind w:left="288" w:right="0" w:firstLine="288"/>
              <w:jc w:val="left"/>
              <w:rPr>
                <w:rFonts w:ascii="Montserrat;sans-serif" w:hAnsi="Montserrat;sans-serif"/>
                <w:b/>
                <w:color w:val="FFFFFF"/>
                <w:sz w:val="18"/>
              </w:rPr>
            </w:pPr>
            <w:r>
              <w:rPr>
                <w:rFonts w:ascii="Montserrat;sans-serif" w:hAnsi="Montserrat;sans-serif"/>
                <w:b/>
                <w:color w:val="FFFFFF"/>
                <w:sz w:val="18"/>
              </w:rPr>
              <w:t>Fiscal Year 2027</w:t>
            </w:r>
          </w:p>
          <w:p>
            <w:pPr>
              <w:pStyle w:val="TableContents"/>
              <w:bidi w:val="0"/>
              <w:spacing w:before="0" w:after="60"/>
              <w:ind w:left="0" w:right="0" w:firstLine="288"/>
              <w:jc w:val="left"/>
              <w:rPr>
                <w:rFonts w:ascii="Montserrat;sans-serif" w:hAnsi="Montserrat;sans-serif"/>
                <w:b/>
                <w:color w:val="FFFFFF"/>
                <w:sz w:val="18"/>
              </w:rPr>
            </w:pPr>
            <w:r>
              <w:rPr>
                <w:rFonts w:ascii="Montserrat;sans-serif" w:hAnsi="Montserrat;sans-serif"/>
                <w:b/>
                <w:color w:val="FFFFFF"/>
                <w:sz w:val="18"/>
              </w:rPr>
              <w:t>Peer Group</w:t>
            </w:r>
          </w:p>
        </w:tc>
      </w:tr>
      <w:tr>
        <w:trPr/>
        <w:tc>
          <w:tcPr>
            <w:tcW w:w="2164" w:type="dxa"/>
            <w:vMerge w:val="restart"/>
            <w:tcBorders>
              <w:left w:val="single" w:sz="18" w:space="0" w:color="7855FA"/>
              <w:bottom w:val="single" w:sz="18" w:space="0" w:color="7855FA"/>
              <w:right w:val="single" w:sz="18" w:space="0" w:color="7855FA"/>
            </w:tcBorders>
            <w:tcMar>
              <w:top w:w="0" w:type="dxa"/>
            </w:tcMar>
            <w:vAlign w:val="center"/>
          </w:tcPr>
          <w:p>
            <w:pPr>
              <w:pStyle w:val="TableContents"/>
              <w:bidi w:val="0"/>
              <w:spacing w:before="60" w:after="60"/>
              <w:ind w:left="288" w:right="0" w:firstLine="288"/>
              <w:jc w:val="left"/>
              <w:rPr>
                <w:rFonts w:ascii="Montserrat;sans-serif" w:hAnsi="Montserrat;sans-serif"/>
                <w:color w:val="000000"/>
                <w:sz w:val="18"/>
              </w:rPr>
            </w:pPr>
            <w:r>
              <w:rPr>
                <w:rFonts w:ascii="Montserrat;sans-serif" w:hAnsi="Montserrat;sans-serif"/>
                <w:color w:val="000000"/>
                <w:sz w:val="18"/>
              </w:rPr>
              <w:t>Cloudflare</w:t>
            </w:r>
          </w:p>
          <w:p>
            <w:pPr>
              <w:pStyle w:val="TableContents"/>
              <w:bidi w:val="0"/>
              <w:spacing w:before="0" w:after="60"/>
              <w:ind w:left="288" w:right="0" w:firstLine="288"/>
              <w:jc w:val="left"/>
              <w:rPr>
                <w:rFonts w:ascii="Montserrat;sans-serif" w:hAnsi="Montserrat;sans-serif"/>
                <w:color w:val="000000"/>
                <w:sz w:val="18"/>
              </w:rPr>
            </w:pPr>
            <w:r>
              <w:rPr>
                <w:rFonts w:ascii="Montserrat;sans-serif" w:hAnsi="Montserrat;sans-serif"/>
                <w:color w:val="000000"/>
                <w:sz w:val="18"/>
              </w:rPr>
              <w:t>Datadog</w:t>
            </w:r>
          </w:p>
          <w:p>
            <w:pPr>
              <w:pStyle w:val="TableContents"/>
              <w:bidi w:val="0"/>
              <w:spacing w:before="0" w:after="60"/>
              <w:ind w:left="288" w:right="0" w:firstLine="288"/>
              <w:jc w:val="left"/>
              <w:rPr>
                <w:rFonts w:ascii="Montserrat;sans-serif" w:hAnsi="Montserrat;sans-serif"/>
                <w:color w:val="000000"/>
                <w:sz w:val="18"/>
              </w:rPr>
            </w:pPr>
            <w:r>
              <w:rPr>
                <w:rFonts w:ascii="Montserrat;sans-serif" w:hAnsi="Montserrat;sans-serif"/>
                <w:color w:val="000000"/>
                <w:sz w:val="18"/>
              </w:rPr>
              <w:t>Dropbox</w:t>
            </w:r>
          </w:p>
          <w:p>
            <w:pPr>
              <w:pStyle w:val="TableContents"/>
              <w:bidi w:val="0"/>
              <w:spacing w:before="0" w:after="60"/>
              <w:ind w:left="288" w:right="0" w:firstLine="288"/>
              <w:jc w:val="left"/>
              <w:rPr>
                <w:rFonts w:ascii="Montserrat;sans-serif" w:hAnsi="Montserrat;sans-serif"/>
                <w:color w:val="000000"/>
                <w:sz w:val="18"/>
              </w:rPr>
            </w:pPr>
            <w:r>
              <w:rPr>
                <w:rFonts w:ascii="Montserrat;sans-serif" w:hAnsi="Montserrat;sans-serif"/>
                <w:color w:val="000000"/>
                <w:sz w:val="18"/>
              </w:rPr>
              <w:t>Dynatrace</w:t>
            </w:r>
          </w:p>
          <w:p>
            <w:pPr>
              <w:pStyle w:val="TableContents"/>
              <w:bidi w:val="0"/>
              <w:spacing w:before="0" w:after="60"/>
              <w:ind w:left="288" w:right="0" w:firstLine="288"/>
              <w:jc w:val="left"/>
              <w:rPr>
                <w:rFonts w:ascii="Montserrat;sans-serif" w:hAnsi="Montserrat;sans-serif"/>
                <w:color w:val="000000"/>
                <w:sz w:val="18"/>
              </w:rPr>
            </w:pPr>
            <w:r>
              <w:rPr>
                <w:rFonts w:ascii="Montserrat;sans-serif" w:hAnsi="Montserrat;sans-serif"/>
                <w:color w:val="000000"/>
                <w:sz w:val="18"/>
              </w:rPr>
              <w:t>Elastic N.V.</w:t>
            </w:r>
          </w:p>
          <w:p>
            <w:pPr>
              <w:pStyle w:val="TableContents"/>
              <w:bidi w:val="0"/>
              <w:spacing w:before="0" w:after="60"/>
              <w:ind w:left="288" w:right="0" w:firstLine="288"/>
              <w:jc w:val="left"/>
              <w:rPr>
                <w:rFonts w:ascii="Montserrat;sans-serif" w:hAnsi="Montserrat;sans-serif"/>
                <w:color w:val="000000"/>
                <w:sz w:val="18"/>
              </w:rPr>
            </w:pPr>
            <w:r>
              <w:rPr>
                <w:rFonts w:ascii="Montserrat;sans-serif" w:hAnsi="Montserrat;sans-serif"/>
                <w:color w:val="000000"/>
                <w:sz w:val="18"/>
              </w:rPr>
              <w:t>Everpure</w:t>
            </w:r>
          </w:p>
          <w:p>
            <w:pPr>
              <w:pStyle w:val="TableContents"/>
              <w:bidi w:val="0"/>
              <w:spacing w:before="0" w:after="60"/>
              <w:ind w:left="288" w:right="0" w:firstLine="288"/>
              <w:jc w:val="left"/>
              <w:rPr>
                <w:rFonts w:ascii="Montserrat;sans-serif" w:hAnsi="Montserrat;sans-serif"/>
                <w:color w:val="000000"/>
                <w:sz w:val="18"/>
              </w:rPr>
            </w:pPr>
            <w:r>
              <w:rPr>
                <w:rFonts w:ascii="Montserrat;sans-serif" w:hAnsi="Montserrat;sans-serif"/>
                <w:color w:val="000000"/>
                <w:sz w:val="18"/>
              </w:rPr>
              <w:t>F5 Networks</w:t>
            </w:r>
          </w:p>
          <w:p>
            <w:pPr>
              <w:pStyle w:val="TableContents"/>
              <w:bidi w:val="0"/>
              <w:spacing w:before="0" w:after="60"/>
              <w:ind w:left="288" w:right="0" w:firstLine="288"/>
              <w:jc w:val="left"/>
              <w:rPr>
                <w:rFonts w:ascii="Montserrat;sans-serif" w:hAnsi="Montserrat;sans-serif"/>
                <w:color w:val="000000"/>
                <w:sz w:val="18"/>
              </w:rPr>
            </w:pPr>
            <w:r>
              <w:rPr>
                <w:rFonts w:ascii="Montserrat;sans-serif" w:hAnsi="Montserrat;sans-serif"/>
                <w:color w:val="000000"/>
                <w:sz w:val="18"/>
              </w:rPr>
              <w:t>Guidewire Software</w:t>
            </w:r>
          </w:p>
          <w:p>
            <w:pPr>
              <w:pStyle w:val="TableContents"/>
              <w:bidi w:val="0"/>
              <w:spacing w:before="0" w:after="60"/>
              <w:ind w:left="288" w:right="0" w:firstLine="288"/>
              <w:jc w:val="left"/>
              <w:rPr>
                <w:rFonts w:ascii="Montserrat;sans-serif" w:hAnsi="Montserrat;sans-serif"/>
                <w:color w:val="000000"/>
                <w:sz w:val="18"/>
              </w:rPr>
            </w:pPr>
            <w:r>
              <w:rPr>
                <w:rFonts w:ascii="Montserrat;sans-serif" w:hAnsi="Montserrat;sans-serif"/>
                <w:color w:val="000000"/>
                <w:sz w:val="18"/>
              </w:rPr>
              <w:t>HubSpot</w:t>
            </w:r>
          </w:p>
          <w:p>
            <w:pPr>
              <w:pStyle w:val="TableContents"/>
              <w:bidi w:val="0"/>
              <w:spacing w:before="0" w:after="60"/>
              <w:ind w:left="288" w:right="0" w:firstLine="288"/>
              <w:jc w:val="left"/>
              <w:rPr>
                <w:rFonts w:ascii="Montserrat;sans-serif" w:hAnsi="Montserrat;sans-serif"/>
                <w:color w:val="000000"/>
                <w:sz w:val="18"/>
              </w:rPr>
            </w:pPr>
            <w:r>
              <w:rPr>
                <w:rFonts w:ascii="Montserrat;sans-serif" w:hAnsi="Montserrat;sans-serif"/>
                <w:color w:val="000000"/>
                <w:sz w:val="18"/>
              </w:rPr>
              <w:t>MongoDB</w:t>
            </w:r>
          </w:p>
          <w:p>
            <w:pPr>
              <w:pStyle w:val="TableContents"/>
              <w:bidi w:val="0"/>
              <w:spacing w:before="0" w:after="60"/>
              <w:ind w:left="288" w:right="0" w:firstLine="288"/>
              <w:jc w:val="left"/>
              <w:rPr>
                <w:rFonts w:ascii="Montserrat;sans-serif" w:hAnsi="Montserrat;sans-serif"/>
                <w:color w:val="000000"/>
                <w:sz w:val="18"/>
              </w:rPr>
            </w:pPr>
            <w:r>
              <w:rPr>
                <w:rFonts w:ascii="Montserrat;sans-serif" w:hAnsi="Montserrat;sans-serif"/>
                <w:color w:val="000000"/>
                <w:sz w:val="18"/>
              </w:rPr>
              <w:t>NetApp</w:t>
            </w:r>
          </w:p>
          <w:p>
            <w:pPr>
              <w:pStyle w:val="TableContents"/>
              <w:bidi w:val="0"/>
              <w:spacing w:before="0" w:after="60"/>
              <w:ind w:left="288" w:right="0" w:firstLine="288"/>
              <w:jc w:val="left"/>
              <w:rPr>
                <w:rFonts w:ascii="Montserrat;sans-serif" w:hAnsi="Montserrat;sans-serif"/>
                <w:color w:val="000000"/>
                <w:sz w:val="18"/>
              </w:rPr>
            </w:pPr>
            <w:r>
              <w:rPr>
                <w:rFonts w:ascii="Montserrat;sans-serif" w:hAnsi="Montserrat;sans-serif"/>
                <w:color w:val="000000"/>
                <w:sz w:val="18"/>
              </w:rPr>
              <w:t>Okta</w:t>
            </w:r>
          </w:p>
          <w:p>
            <w:pPr>
              <w:pStyle w:val="TableContents"/>
              <w:bidi w:val="0"/>
              <w:spacing w:before="0" w:after="60"/>
              <w:ind w:left="288" w:right="0" w:firstLine="288"/>
              <w:jc w:val="left"/>
              <w:rPr>
                <w:rFonts w:ascii="Montserrat;sans-serif" w:hAnsi="Montserrat;sans-serif"/>
                <w:color w:val="000000"/>
                <w:sz w:val="18"/>
              </w:rPr>
            </w:pPr>
            <w:r>
              <w:rPr>
                <w:rFonts w:ascii="Montserrat;sans-serif" w:hAnsi="Montserrat;sans-serif"/>
                <w:color w:val="000000"/>
                <w:sz w:val="18"/>
              </w:rPr>
              <w:t>Pegasystems</w:t>
            </w:r>
          </w:p>
          <w:p>
            <w:pPr>
              <w:pStyle w:val="TableContents"/>
              <w:bidi w:val="0"/>
              <w:spacing w:before="0" w:after="60"/>
              <w:ind w:left="288" w:right="0" w:firstLine="288"/>
              <w:jc w:val="left"/>
              <w:rPr>
                <w:rFonts w:ascii="Montserrat;sans-serif" w:hAnsi="Montserrat;sans-serif"/>
                <w:color w:val="000000"/>
                <w:sz w:val="18"/>
              </w:rPr>
            </w:pPr>
            <w:r>
              <w:rPr>
                <w:rFonts w:ascii="Montserrat;sans-serif" w:hAnsi="Montserrat;sans-serif"/>
                <w:color w:val="000000"/>
                <w:sz w:val="18"/>
              </w:rPr>
              <w:t>PTC</w:t>
            </w:r>
          </w:p>
          <w:p>
            <w:pPr>
              <w:pStyle w:val="TableContents"/>
              <w:bidi w:val="0"/>
              <w:spacing w:before="0" w:after="60"/>
              <w:ind w:left="288" w:right="0" w:firstLine="288"/>
              <w:jc w:val="left"/>
              <w:rPr>
                <w:rFonts w:ascii="Montserrat;sans-serif" w:hAnsi="Montserrat;sans-serif"/>
                <w:color w:val="000000"/>
                <w:sz w:val="18"/>
              </w:rPr>
            </w:pPr>
            <w:r>
              <w:rPr>
                <w:rFonts w:ascii="Montserrat;sans-serif" w:hAnsi="Montserrat;sans-serif"/>
                <w:color w:val="000000"/>
                <w:sz w:val="18"/>
              </w:rPr>
              <w:t>Snowflake</w:t>
            </w:r>
          </w:p>
          <w:p>
            <w:pPr>
              <w:pStyle w:val="TableContents"/>
              <w:bidi w:val="0"/>
              <w:spacing w:before="0" w:after="60"/>
              <w:ind w:left="288" w:right="0" w:firstLine="288"/>
              <w:jc w:val="left"/>
              <w:rPr>
                <w:rFonts w:ascii="Montserrat;sans-serif" w:hAnsi="Montserrat;sans-serif"/>
                <w:color w:val="000000"/>
                <w:sz w:val="18"/>
              </w:rPr>
            </w:pPr>
            <w:r>
              <w:rPr>
                <w:rFonts w:ascii="Montserrat;sans-serif" w:hAnsi="Montserrat;sans-serif"/>
                <w:color w:val="000000"/>
                <w:sz w:val="18"/>
              </w:rPr>
              <w:t>Twilio</w:t>
            </w:r>
          </w:p>
          <w:p>
            <w:pPr>
              <w:pStyle w:val="TableContents"/>
              <w:bidi w:val="0"/>
              <w:spacing w:before="0" w:after="60"/>
              <w:ind w:left="288" w:right="0" w:firstLine="288"/>
              <w:jc w:val="left"/>
              <w:rPr>
                <w:rFonts w:ascii="Montserrat;sans-serif" w:hAnsi="Montserrat;sans-serif"/>
                <w:color w:val="000000"/>
                <w:sz w:val="18"/>
              </w:rPr>
            </w:pPr>
            <w:r>
              <w:rPr>
                <w:rFonts w:ascii="Montserrat;sans-serif" w:hAnsi="Montserrat;sans-serif"/>
                <w:color w:val="000000"/>
                <w:sz w:val="18"/>
              </w:rPr>
              <w:t>Zscaler</w:t>
            </w:r>
          </w:p>
        </w:tc>
        <w:tc>
          <w:tcPr>
            <w:tcW w:w="434" w:type="dxa"/>
            <w:tcBorders>
              <w:bottom w:val="single" w:sz="18" w:space="0" w:color="000000"/>
              <w:right w:val="single" w:sz="18" w:space="0" w:color="7855FA"/>
            </w:tcBorders>
            <w:tcMar>
              <w:top w:w="0" w:type="dxa"/>
              <w:left w:w="0" w:type="dxa"/>
            </w:tcMar>
            <w:vAlign w:val="center"/>
          </w:tcPr>
          <w:p>
            <w:pPr>
              <w:pStyle w:val="TableContents"/>
              <w:bidi w:val="0"/>
              <w:spacing w:before="0" w:after="283"/>
              <w:ind w:left="0" w:right="0" w:firstLine="288"/>
              <w:jc w:val="left"/>
              <w:rPr/>
            </w:pPr>
            <w:r>
              <w:rPr/>
              <w:t> </w:t>
            </w:r>
          </w:p>
        </w:tc>
        <w:tc>
          <w:tcPr>
            <w:tcW w:w="2284" w:type="dxa"/>
            <w:tcBorders>
              <w:right w:val="single" w:sz="18" w:space="0" w:color="7855FA"/>
            </w:tcBorders>
            <w:shd w:fill="7855FA" w:val="clear"/>
            <w:tcMar>
              <w:top w:w="0" w:type="dxa"/>
              <w:left w:w="0" w:type="dxa"/>
              <w:bottom w:w="0" w:type="dxa"/>
            </w:tcMar>
            <w:vAlign w:val="center"/>
          </w:tcPr>
          <w:p>
            <w:pPr>
              <w:pStyle w:val="TableContents"/>
              <w:bidi w:val="0"/>
              <w:spacing w:before="60" w:after="60"/>
              <w:ind w:left="288" w:right="0" w:firstLine="288"/>
              <w:jc w:val="left"/>
              <w:rPr>
                <w:rFonts w:ascii="Montserrat;sans-serif" w:hAnsi="Montserrat;sans-serif"/>
                <w:b/>
                <w:color w:val="FFFFFF"/>
                <w:sz w:val="18"/>
              </w:rPr>
            </w:pPr>
            <w:r>
              <w:rPr>
                <w:rFonts w:ascii="Montserrat;sans-serif" w:hAnsi="Montserrat;sans-serif"/>
                <w:b/>
                <w:color w:val="FFFFFF"/>
                <w:sz w:val="18"/>
              </w:rPr>
              <w:t>Additions</w:t>
            </w:r>
          </w:p>
        </w:tc>
        <w:tc>
          <w:tcPr>
            <w:tcW w:w="434" w:type="dxa"/>
            <w:tcBorders>
              <w:right w:val="single" w:sz="18" w:space="0" w:color="7855FA"/>
            </w:tcBorders>
            <w:tcMar>
              <w:top w:w="0" w:type="dxa"/>
              <w:left w:w="0" w:type="dxa"/>
              <w:bottom w:w="0" w:type="dxa"/>
            </w:tcMar>
            <w:vAlign w:val="center"/>
          </w:tcPr>
          <w:p>
            <w:pPr>
              <w:pStyle w:val="TableContents"/>
              <w:bidi w:val="0"/>
              <w:spacing w:before="0" w:after="283"/>
              <w:ind w:left="0" w:right="0" w:firstLine="288"/>
              <w:jc w:val="left"/>
              <w:rPr/>
            </w:pPr>
            <w:r>
              <w:rPr/>
              <w:t> </w:t>
            </w:r>
          </w:p>
        </w:tc>
        <w:tc>
          <w:tcPr>
            <w:tcW w:w="2329" w:type="dxa"/>
            <w:vMerge w:val="restart"/>
            <w:tcBorders>
              <w:bottom w:val="single" w:sz="18" w:space="0" w:color="7855FA"/>
              <w:right w:val="single" w:sz="18" w:space="0" w:color="7855FA"/>
            </w:tcBorders>
            <w:tcMar>
              <w:top w:w="0" w:type="dxa"/>
              <w:left w:w="0" w:type="dxa"/>
            </w:tcMar>
            <w:vAlign w:val="center"/>
          </w:tcPr>
          <w:p>
            <w:pPr>
              <w:pStyle w:val="TableContents"/>
              <w:bidi w:val="0"/>
              <w:spacing w:before="60" w:after="60"/>
              <w:ind w:left="288" w:right="0" w:firstLine="288"/>
              <w:jc w:val="left"/>
              <w:rPr>
                <w:rFonts w:ascii="Montserrat;sans-serif" w:hAnsi="Montserrat;sans-serif"/>
                <w:color w:val="000000"/>
                <w:sz w:val="18"/>
              </w:rPr>
            </w:pPr>
            <w:r>
              <w:rPr>
                <w:rFonts w:ascii="Montserrat;sans-serif" w:hAnsi="Montserrat;sans-serif"/>
                <w:color w:val="000000"/>
                <w:sz w:val="18"/>
              </w:rPr>
              <w:t>Akamai Technologies</w:t>
            </w:r>
          </w:p>
          <w:p>
            <w:pPr>
              <w:pStyle w:val="TableContents"/>
              <w:bidi w:val="0"/>
              <w:spacing w:before="0" w:after="60"/>
              <w:ind w:left="288" w:right="0" w:firstLine="288"/>
              <w:jc w:val="left"/>
              <w:rPr>
                <w:rFonts w:ascii="Montserrat;sans-serif" w:hAnsi="Montserrat;sans-serif"/>
                <w:color w:val="000000"/>
                <w:sz w:val="18"/>
              </w:rPr>
            </w:pPr>
            <w:r>
              <w:rPr>
                <w:rFonts w:ascii="Montserrat;sans-serif" w:hAnsi="Montserrat;sans-serif"/>
                <w:color w:val="000000"/>
                <w:sz w:val="18"/>
              </w:rPr>
              <w:t>Commvault Systems</w:t>
            </w:r>
          </w:p>
          <w:p>
            <w:pPr>
              <w:pStyle w:val="TableContents"/>
              <w:bidi w:val="0"/>
              <w:spacing w:before="0" w:after="60"/>
              <w:ind w:left="288" w:right="0" w:firstLine="288"/>
              <w:jc w:val="left"/>
              <w:rPr>
                <w:rFonts w:ascii="Montserrat;sans-serif" w:hAnsi="Montserrat;sans-serif"/>
                <w:color w:val="000000"/>
                <w:sz w:val="18"/>
              </w:rPr>
            </w:pPr>
            <w:r>
              <w:rPr>
                <w:rFonts w:ascii="Montserrat;sans-serif" w:hAnsi="Montserrat;sans-serif"/>
                <w:color w:val="000000"/>
                <w:sz w:val="18"/>
              </w:rPr>
              <w:t>DocuSign</w:t>
            </w:r>
          </w:p>
          <w:p>
            <w:pPr>
              <w:pStyle w:val="TableContents"/>
              <w:bidi w:val="0"/>
              <w:spacing w:before="0" w:after="60"/>
              <w:ind w:left="288" w:right="0" w:firstLine="288"/>
              <w:jc w:val="left"/>
              <w:rPr>
                <w:rFonts w:ascii="Montserrat;sans-serif" w:hAnsi="Montserrat;sans-serif"/>
                <w:color w:val="000000"/>
                <w:sz w:val="18"/>
              </w:rPr>
            </w:pPr>
            <w:r>
              <w:rPr>
                <w:rFonts w:ascii="Montserrat;sans-serif" w:hAnsi="Montserrat;sans-serif"/>
                <w:color w:val="000000"/>
                <w:sz w:val="18"/>
              </w:rPr>
              <w:t>Dropbox</w:t>
            </w:r>
          </w:p>
          <w:p>
            <w:pPr>
              <w:pStyle w:val="TableContents"/>
              <w:bidi w:val="0"/>
              <w:spacing w:before="0" w:after="60"/>
              <w:ind w:left="288" w:right="0" w:firstLine="288"/>
              <w:jc w:val="left"/>
              <w:rPr>
                <w:rFonts w:ascii="Montserrat;sans-serif" w:hAnsi="Montserrat;sans-serif"/>
                <w:color w:val="000000"/>
                <w:sz w:val="18"/>
              </w:rPr>
            </w:pPr>
            <w:r>
              <w:rPr>
                <w:rFonts w:ascii="Montserrat;sans-serif" w:hAnsi="Montserrat;sans-serif"/>
                <w:color w:val="000000"/>
                <w:sz w:val="18"/>
              </w:rPr>
              <w:t>Dynatrace</w:t>
            </w:r>
          </w:p>
          <w:p>
            <w:pPr>
              <w:pStyle w:val="TableContents"/>
              <w:bidi w:val="0"/>
              <w:spacing w:before="0" w:after="60"/>
              <w:ind w:left="288" w:right="0" w:firstLine="288"/>
              <w:jc w:val="left"/>
              <w:rPr>
                <w:rFonts w:ascii="Montserrat;sans-serif" w:hAnsi="Montserrat;sans-serif"/>
                <w:color w:val="000000"/>
                <w:sz w:val="18"/>
              </w:rPr>
            </w:pPr>
            <w:r>
              <w:rPr>
                <w:rFonts w:ascii="Montserrat;sans-serif" w:hAnsi="Montserrat;sans-serif"/>
                <w:color w:val="000000"/>
                <w:sz w:val="18"/>
              </w:rPr>
              <w:t>Elastic N.V.</w:t>
            </w:r>
          </w:p>
          <w:p>
            <w:pPr>
              <w:pStyle w:val="TableContents"/>
              <w:bidi w:val="0"/>
              <w:spacing w:before="0" w:after="60"/>
              <w:ind w:left="288" w:right="0" w:firstLine="288"/>
              <w:jc w:val="left"/>
              <w:rPr>
                <w:rFonts w:ascii="Montserrat;sans-serif" w:hAnsi="Montserrat;sans-serif"/>
                <w:color w:val="000000"/>
                <w:sz w:val="18"/>
              </w:rPr>
            </w:pPr>
            <w:r>
              <w:rPr>
                <w:rFonts w:ascii="Montserrat;sans-serif" w:hAnsi="Montserrat;sans-serif"/>
                <w:color w:val="000000"/>
                <w:sz w:val="18"/>
              </w:rPr>
              <w:t>Everpure</w:t>
            </w:r>
          </w:p>
          <w:p>
            <w:pPr>
              <w:pStyle w:val="TableContents"/>
              <w:bidi w:val="0"/>
              <w:spacing w:before="0" w:after="60"/>
              <w:ind w:left="288" w:right="0" w:firstLine="288"/>
              <w:jc w:val="left"/>
              <w:rPr>
                <w:rFonts w:ascii="Montserrat;sans-serif" w:hAnsi="Montserrat;sans-serif"/>
                <w:color w:val="000000"/>
                <w:sz w:val="18"/>
              </w:rPr>
            </w:pPr>
            <w:r>
              <w:rPr>
                <w:rFonts w:ascii="Montserrat;sans-serif" w:hAnsi="Montserrat;sans-serif"/>
                <w:color w:val="000000"/>
                <w:sz w:val="18"/>
              </w:rPr>
              <w:t>F5 Networks</w:t>
            </w:r>
          </w:p>
          <w:p>
            <w:pPr>
              <w:pStyle w:val="TableContents"/>
              <w:bidi w:val="0"/>
              <w:spacing w:before="0" w:after="60"/>
              <w:ind w:left="288" w:right="0" w:firstLine="288"/>
              <w:jc w:val="left"/>
              <w:rPr>
                <w:rFonts w:ascii="Montserrat;sans-serif" w:hAnsi="Montserrat;sans-serif"/>
                <w:color w:val="000000"/>
                <w:sz w:val="18"/>
              </w:rPr>
            </w:pPr>
            <w:r>
              <w:rPr>
                <w:rFonts w:ascii="Montserrat;sans-serif" w:hAnsi="Montserrat;sans-serif"/>
                <w:color w:val="000000"/>
                <w:sz w:val="18"/>
              </w:rPr>
              <w:t>Guidewire Software</w:t>
            </w:r>
          </w:p>
          <w:p>
            <w:pPr>
              <w:pStyle w:val="TableContents"/>
              <w:bidi w:val="0"/>
              <w:spacing w:before="0" w:after="60"/>
              <w:ind w:left="288" w:right="0" w:firstLine="288"/>
              <w:jc w:val="left"/>
              <w:rPr>
                <w:rFonts w:ascii="Montserrat;sans-serif" w:hAnsi="Montserrat;sans-serif"/>
                <w:color w:val="000000"/>
                <w:sz w:val="18"/>
              </w:rPr>
            </w:pPr>
            <w:r>
              <w:rPr>
                <w:rFonts w:ascii="Montserrat;sans-serif" w:hAnsi="Montserrat;sans-serif"/>
                <w:color w:val="000000"/>
                <w:sz w:val="18"/>
              </w:rPr>
              <w:t>HubSpot</w:t>
            </w:r>
          </w:p>
          <w:p>
            <w:pPr>
              <w:pStyle w:val="TableContents"/>
              <w:bidi w:val="0"/>
              <w:spacing w:before="0" w:after="60"/>
              <w:ind w:left="288" w:right="0" w:firstLine="288"/>
              <w:jc w:val="left"/>
              <w:rPr>
                <w:rFonts w:ascii="Montserrat;sans-serif" w:hAnsi="Montserrat;sans-serif"/>
                <w:color w:val="000000"/>
                <w:sz w:val="18"/>
              </w:rPr>
            </w:pPr>
            <w:r>
              <w:rPr>
                <w:rFonts w:ascii="Montserrat;sans-serif" w:hAnsi="Montserrat;sans-serif"/>
                <w:color w:val="000000"/>
                <w:sz w:val="18"/>
              </w:rPr>
              <w:t>MongoDB</w:t>
            </w:r>
          </w:p>
          <w:p>
            <w:pPr>
              <w:pStyle w:val="TableContents"/>
              <w:bidi w:val="0"/>
              <w:spacing w:before="0" w:after="60"/>
              <w:ind w:left="288" w:right="0" w:firstLine="288"/>
              <w:jc w:val="left"/>
              <w:rPr>
                <w:rFonts w:ascii="Montserrat;sans-serif" w:hAnsi="Montserrat;sans-serif"/>
                <w:color w:val="000000"/>
                <w:sz w:val="18"/>
              </w:rPr>
            </w:pPr>
            <w:r>
              <w:rPr>
                <w:rFonts w:ascii="Montserrat;sans-serif" w:hAnsi="Montserrat;sans-serif"/>
                <w:color w:val="000000"/>
                <w:sz w:val="18"/>
              </w:rPr>
              <w:t>NetApp</w:t>
            </w:r>
          </w:p>
          <w:p>
            <w:pPr>
              <w:pStyle w:val="TableContents"/>
              <w:bidi w:val="0"/>
              <w:spacing w:before="0" w:after="60"/>
              <w:ind w:left="288" w:right="0" w:firstLine="288"/>
              <w:jc w:val="left"/>
              <w:rPr>
                <w:rFonts w:ascii="Montserrat;sans-serif" w:hAnsi="Montserrat;sans-serif"/>
                <w:color w:val="000000"/>
                <w:sz w:val="18"/>
              </w:rPr>
            </w:pPr>
            <w:r>
              <w:rPr>
                <w:rFonts w:ascii="Montserrat;sans-serif" w:hAnsi="Montserrat;sans-serif"/>
                <w:color w:val="000000"/>
                <w:sz w:val="18"/>
              </w:rPr>
              <w:t>Okta</w:t>
            </w:r>
          </w:p>
          <w:p>
            <w:pPr>
              <w:pStyle w:val="TableContents"/>
              <w:bidi w:val="0"/>
              <w:spacing w:before="0" w:after="60"/>
              <w:ind w:left="288" w:right="0" w:firstLine="288"/>
              <w:jc w:val="left"/>
              <w:rPr>
                <w:rFonts w:ascii="Montserrat;sans-serif" w:hAnsi="Montserrat;sans-serif"/>
                <w:color w:val="000000"/>
                <w:sz w:val="18"/>
              </w:rPr>
            </w:pPr>
            <w:r>
              <w:rPr>
                <w:rFonts w:ascii="Montserrat;sans-serif" w:hAnsi="Montserrat;sans-serif"/>
                <w:color w:val="000000"/>
                <w:sz w:val="18"/>
              </w:rPr>
              <w:t>Pegasystems</w:t>
            </w:r>
          </w:p>
          <w:p>
            <w:pPr>
              <w:pStyle w:val="TableContents"/>
              <w:bidi w:val="0"/>
              <w:spacing w:before="0" w:after="60"/>
              <w:ind w:left="288" w:right="0" w:firstLine="288"/>
              <w:jc w:val="left"/>
              <w:rPr>
                <w:rFonts w:ascii="Montserrat;sans-serif" w:hAnsi="Montserrat;sans-serif"/>
                <w:color w:val="000000"/>
                <w:sz w:val="18"/>
              </w:rPr>
            </w:pPr>
            <w:r>
              <w:rPr>
                <w:rFonts w:ascii="Montserrat;sans-serif" w:hAnsi="Montserrat;sans-serif"/>
                <w:color w:val="000000"/>
                <w:sz w:val="18"/>
              </w:rPr>
              <w:t>PTC</w:t>
            </w:r>
          </w:p>
          <w:p>
            <w:pPr>
              <w:pStyle w:val="TableContents"/>
              <w:bidi w:val="0"/>
              <w:spacing w:before="0" w:after="60"/>
              <w:ind w:left="288" w:right="0" w:firstLine="288"/>
              <w:jc w:val="left"/>
              <w:rPr>
                <w:rFonts w:ascii="Montserrat;sans-serif" w:hAnsi="Montserrat;sans-serif"/>
                <w:color w:val="000000"/>
                <w:sz w:val="18"/>
              </w:rPr>
            </w:pPr>
            <w:r>
              <w:rPr>
                <w:rFonts w:ascii="Montserrat;sans-serif" w:hAnsi="Montserrat;sans-serif"/>
                <w:color w:val="000000"/>
                <w:sz w:val="18"/>
              </w:rPr>
              <w:t>Twilio</w:t>
            </w:r>
          </w:p>
          <w:p>
            <w:pPr>
              <w:pStyle w:val="TableContents"/>
              <w:bidi w:val="0"/>
              <w:spacing w:before="0" w:after="60"/>
              <w:ind w:left="288" w:right="0" w:firstLine="288"/>
              <w:jc w:val="left"/>
              <w:rPr>
                <w:rFonts w:ascii="Montserrat;sans-serif" w:hAnsi="Montserrat;sans-serif"/>
                <w:color w:val="000000"/>
                <w:sz w:val="18"/>
              </w:rPr>
            </w:pPr>
            <w:r>
              <w:rPr>
                <w:rFonts w:ascii="Montserrat;sans-serif" w:hAnsi="Montserrat;sans-serif"/>
                <w:color w:val="000000"/>
                <w:sz w:val="18"/>
              </w:rPr>
              <w:t>Zscaler</w:t>
            </w:r>
          </w:p>
        </w:tc>
      </w:tr>
      <w:tr>
        <w:trPr/>
        <w:tc>
          <w:tcPr>
            <w:tcW w:w="2164" w:type="dxa"/>
            <w:vMerge w:val="continue"/>
            <w:tcBorders>
              <w:left w:val="single" w:sz="18" w:space="0" w:color="7855FA"/>
              <w:bottom w:val="single" w:sz="18" w:space="0" w:color="7855FA"/>
              <w:right w:val="single" w:sz="18" w:space="0" w:color="7855FA"/>
            </w:tcBorders>
            <w:tcMar>
              <w:top w:w="0" w:type="dxa"/>
            </w:tcMar>
            <w:vAlign w:val="center"/>
          </w:tcPr>
          <w:p>
            <w:pPr>
              <w:pStyle w:val="Normal"/>
              <w:bidi w:val="0"/>
              <w:jc w:val="left"/>
              <w:rPr/>
            </w:pPr>
            <w:r>
              <w:rPr/>
            </w:r>
          </w:p>
        </w:tc>
        <w:tc>
          <w:tcPr>
            <w:tcW w:w="434" w:type="dxa"/>
            <w:tcBorders>
              <w:bottom w:val="single" w:sz="18" w:space="0" w:color="000000"/>
              <w:right w:val="single" w:sz="18" w:space="0" w:color="7855FA"/>
            </w:tcBorders>
            <w:tcMar>
              <w:top w:w="0" w:type="dxa"/>
              <w:left w:w="0" w:type="dxa"/>
            </w:tcMar>
            <w:vAlign w:val="center"/>
          </w:tcPr>
          <w:p>
            <w:pPr>
              <w:pStyle w:val="TableContents"/>
              <w:bidi w:val="0"/>
              <w:spacing w:before="0" w:after="283"/>
              <w:ind w:left="0" w:right="0" w:firstLine="288"/>
              <w:jc w:val="left"/>
              <w:rPr/>
            </w:pPr>
            <w:r>
              <w:rPr/>
              <w:t> </w:t>
            </w:r>
          </w:p>
        </w:tc>
        <w:tc>
          <w:tcPr>
            <w:tcW w:w="2284" w:type="dxa"/>
            <w:tcBorders>
              <w:bottom w:val="single" w:sz="18" w:space="0" w:color="7855FA"/>
              <w:right w:val="single" w:sz="18" w:space="0" w:color="7855FA"/>
            </w:tcBorders>
            <w:tcMar>
              <w:top w:w="0" w:type="dxa"/>
              <w:left w:w="0" w:type="dxa"/>
            </w:tcMar>
            <w:vAlign w:val="center"/>
          </w:tcPr>
          <w:p>
            <w:pPr>
              <w:pStyle w:val="TableContents"/>
              <w:bidi w:val="0"/>
              <w:spacing w:before="60" w:after="60"/>
              <w:ind w:left="288" w:right="0" w:firstLine="288"/>
              <w:jc w:val="left"/>
              <w:rPr>
                <w:rFonts w:ascii="Montserrat;sans-serif" w:hAnsi="Montserrat;sans-serif"/>
                <w:color w:val="000000"/>
                <w:sz w:val="18"/>
              </w:rPr>
            </w:pPr>
            <w:r>
              <w:rPr>
                <w:rFonts w:ascii="Montserrat;sans-serif" w:hAnsi="Montserrat;sans-serif"/>
                <w:color w:val="000000"/>
                <w:sz w:val="18"/>
              </w:rPr>
              <w:t>Akamai Technologies</w:t>
            </w:r>
          </w:p>
          <w:p>
            <w:pPr>
              <w:pStyle w:val="TableContents"/>
              <w:bidi w:val="0"/>
              <w:spacing w:before="0" w:after="60"/>
              <w:ind w:left="288" w:right="0" w:firstLine="288"/>
              <w:jc w:val="left"/>
              <w:rPr>
                <w:rFonts w:ascii="Montserrat;sans-serif" w:hAnsi="Montserrat;sans-serif"/>
                <w:color w:val="000000"/>
                <w:sz w:val="18"/>
              </w:rPr>
            </w:pPr>
            <w:r>
              <w:rPr>
                <w:rFonts w:ascii="Montserrat;sans-serif" w:hAnsi="Montserrat;sans-serif"/>
                <w:color w:val="000000"/>
                <w:sz w:val="18"/>
              </w:rPr>
              <w:t>Commvault Systems</w:t>
            </w:r>
          </w:p>
          <w:p>
            <w:pPr>
              <w:pStyle w:val="TableContents"/>
              <w:bidi w:val="0"/>
              <w:spacing w:before="0" w:after="60"/>
              <w:ind w:left="288" w:right="0" w:firstLine="288"/>
              <w:jc w:val="left"/>
              <w:rPr>
                <w:rFonts w:ascii="Montserrat;sans-serif" w:hAnsi="Montserrat;sans-serif"/>
                <w:color w:val="000000"/>
                <w:sz w:val="18"/>
              </w:rPr>
            </w:pPr>
            <w:r>
              <w:rPr>
                <w:rFonts w:ascii="Montserrat;sans-serif" w:hAnsi="Montserrat;sans-serif"/>
                <w:color w:val="000000"/>
                <w:sz w:val="18"/>
              </w:rPr>
              <w:t>DocuSign</w:t>
            </w:r>
          </w:p>
        </w:tc>
        <w:tc>
          <w:tcPr>
            <w:tcW w:w="434" w:type="dxa"/>
            <w:tcBorders>
              <w:bottom w:val="single" w:sz="18" w:space="0" w:color="000000"/>
              <w:right w:val="single" w:sz="18" w:space="0" w:color="7855FA"/>
            </w:tcBorders>
            <w:tcMar>
              <w:top w:w="0" w:type="dxa"/>
              <w:left w:w="0" w:type="dxa"/>
            </w:tcMar>
            <w:vAlign w:val="center"/>
          </w:tcPr>
          <w:p>
            <w:pPr>
              <w:pStyle w:val="TableContents"/>
              <w:bidi w:val="0"/>
              <w:spacing w:before="0" w:after="283"/>
              <w:jc w:val="center"/>
              <w:rPr/>
            </w:pPr>
            <w:r>
              <w:rPr/>
              <w:t> </w:t>
            </w:r>
          </w:p>
        </w:tc>
        <w:tc>
          <w:tcPr>
            <w:tcW w:w="2329" w:type="dxa"/>
            <w:vMerge w:val="continue"/>
            <w:tcBorders>
              <w:bottom w:val="single" w:sz="18" w:space="0" w:color="7855FA"/>
              <w:right w:val="single" w:sz="18" w:space="0" w:color="7855FA"/>
            </w:tcBorders>
            <w:tcMar>
              <w:top w:w="0" w:type="dxa"/>
              <w:left w:w="0" w:type="dxa"/>
            </w:tcMar>
            <w:vAlign w:val="center"/>
          </w:tcPr>
          <w:p>
            <w:pPr>
              <w:pStyle w:val="Normal"/>
              <w:bidi w:val="0"/>
              <w:jc w:val="left"/>
              <w:rPr/>
            </w:pPr>
            <w:r>
              <w:rPr/>
            </w:r>
          </w:p>
        </w:tc>
      </w:tr>
      <w:tr>
        <w:trPr/>
        <w:tc>
          <w:tcPr>
            <w:tcW w:w="2164" w:type="dxa"/>
            <w:vMerge w:val="continue"/>
            <w:tcBorders>
              <w:left w:val="single" w:sz="18" w:space="0" w:color="7855FA"/>
              <w:bottom w:val="single" w:sz="18" w:space="0" w:color="7855FA"/>
              <w:right w:val="single" w:sz="18" w:space="0" w:color="7855FA"/>
            </w:tcBorders>
            <w:tcMar>
              <w:top w:w="0" w:type="dxa"/>
            </w:tcMar>
            <w:vAlign w:val="center"/>
          </w:tcPr>
          <w:p>
            <w:pPr>
              <w:pStyle w:val="Normal"/>
              <w:bidi w:val="0"/>
              <w:jc w:val="left"/>
              <w:rPr/>
            </w:pPr>
            <w:r>
              <w:rPr/>
            </w:r>
          </w:p>
        </w:tc>
        <w:tc>
          <w:tcPr>
            <w:tcW w:w="434"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c>
          <w:tcPr>
            <w:tcW w:w="2284" w:type="dxa"/>
            <w:tcBorders/>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right w:val="single" w:sz="18" w:space="0" w:color="7855FA"/>
            </w:tcBorders>
            <w:tcMar>
              <w:top w:w="0" w:type="dxa"/>
              <w:left w:w="0" w:type="dxa"/>
              <w:bottom w:w="0" w:type="dxa"/>
            </w:tcMar>
            <w:vAlign w:val="center"/>
          </w:tcPr>
          <w:p>
            <w:pPr>
              <w:pStyle w:val="TableContents"/>
              <w:bidi w:val="0"/>
              <w:spacing w:before="0" w:after="283"/>
              <w:jc w:val="left"/>
              <w:rPr/>
            </w:pPr>
            <w:r>
              <w:rPr/>
              <w:t> </w:t>
            </w:r>
          </w:p>
        </w:tc>
        <w:tc>
          <w:tcPr>
            <w:tcW w:w="2329" w:type="dxa"/>
            <w:vMerge w:val="continue"/>
            <w:tcBorders>
              <w:bottom w:val="single" w:sz="18" w:space="0" w:color="7855FA"/>
              <w:right w:val="single" w:sz="18" w:space="0" w:color="7855FA"/>
            </w:tcBorders>
            <w:tcMar>
              <w:top w:w="0" w:type="dxa"/>
              <w:left w:w="0" w:type="dxa"/>
            </w:tcMar>
            <w:vAlign w:val="center"/>
          </w:tcPr>
          <w:p>
            <w:pPr>
              <w:pStyle w:val="Normal"/>
              <w:bidi w:val="0"/>
              <w:jc w:val="left"/>
              <w:rPr/>
            </w:pPr>
            <w:r>
              <w:rPr/>
            </w:r>
          </w:p>
        </w:tc>
      </w:tr>
      <w:tr>
        <w:trPr/>
        <w:tc>
          <w:tcPr>
            <w:tcW w:w="2164" w:type="dxa"/>
            <w:vMerge w:val="continue"/>
            <w:tcBorders>
              <w:left w:val="single" w:sz="18" w:space="0" w:color="7855FA"/>
              <w:bottom w:val="single" w:sz="18" w:space="0" w:color="7855FA"/>
              <w:right w:val="single" w:sz="18" w:space="0" w:color="7855FA"/>
            </w:tcBorders>
            <w:tcMar>
              <w:top w:w="0" w:type="dxa"/>
            </w:tcMar>
            <w:vAlign w:val="center"/>
          </w:tcPr>
          <w:p>
            <w:pPr>
              <w:pStyle w:val="Normal"/>
              <w:bidi w:val="0"/>
              <w:jc w:val="left"/>
              <w:rPr/>
            </w:pPr>
            <w:r>
              <w:rPr/>
            </w:r>
          </w:p>
        </w:tc>
        <w:tc>
          <w:tcPr>
            <w:tcW w:w="434"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c>
          <w:tcPr>
            <w:tcW w:w="2284" w:type="dxa"/>
            <w:tcBorders/>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right w:val="single" w:sz="18" w:space="0" w:color="7855FA"/>
            </w:tcBorders>
            <w:tcMar>
              <w:top w:w="0" w:type="dxa"/>
              <w:left w:w="0" w:type="dxa"/>
              <w:bottom w:w="0" w:type="dxa"/>
            </w:tcMar>
            <w:vAlign w:val="center"/>
          </w:tcPr>
          <w:p>
            <w:pPr>
              <w:pStyle w:val="TableContents"/>
              <w:bidi w:val="0"/>
              <w:spacing w:before="0" w:after="283"/>
              <w:ind w:left="0" w:right="0" w:firstLine="288"/>
              <w:jc w:val="left"/>
              <w:rPr/>
            </w:pPr>
            <w:r>
              <w:rPr/>
              <w:t> </w:t>
            </w:r>
          </w:p>
        </w:tc>
        <w:tc>
          <w:tcPr>
            <w:tcW w:w="2329" w:type="dxa"/>
            <w:vMerge w:val="continue"/>
            <w:tcBorders>
              <w:bottom w:val="single" w:sz="18" w:space="0" w:color="7855FA"/>
              <w:right w:val="single" w:sz="18" w:space="0" w:color="7855FA"/>
            </w:tcBorders>
            <w:tcMar>
              <w:top w:w="0" w:type="dxa"/>
              <w:left w:w="0" w:type="dxa"/>
            </w:tcMar>
            <w:vAlign w:val="center"/>
          </w:tcPr>
          <w:p>
            <w:pPr>
              <w:pStyle w:val="Normal"/>
              <w:bidi w:val="0"/>
              <w:jc w:val="left"/>
              <w:rPr/>
            </w:pPr>
            <w:r>
              <w:rPr/>
            </w:r>
          </w:p>
        </w:tc>
      </w:tr>
      <w:tr>
        <w:trPr/>
        <w:tc>
          <w:tcPr>
            <w:tcW w:w="2164" w:type="dxa"/>
            <w:vMerge w:val="continue"/>
            <w:tcBorders>
              <w:left w:val="single" w:sz="18" w:space="0" w:color="7855FA"/>
              <w:bottom w:val="single" w:sz="18" w:space="0" w:color="7855FA"/>
              <w:right w:val="single" w:sz="18" w:space="0" w:color="7855FA"/>
            </w:tcBorders>
            <w:tcMar>
              <w:top w:w="0" w:type="dxa"/>
            </w:tcMar>
            <w:vAlign w:val="center"/>
          </w:tcPr>
          <w:p>
            <w:pPr>
              <w:pStyle w:val="Normal"/>
              <w:bidi w:val="0"/>
              <w:jc w:val="left"/>
              <w:rPr/>
            </w:pPr>
            <w:r>
              <w:rPr/>
            </w:r>
          </w:p>
        </w:tc>
        <w:tc>
          <w:tcPr>
            <w:tcW w:w="434" w:type="dxa"/>
            <w:tcBorders>
              <w:bottom w:val="single" w:sz="18" w:space="0" w:color="000000"/>
            </w:tcBorders>
            <w:tcMar>
              <w:top w:w="0" w:type="dxa"/>
              <w:left w:w="0" w:type="dxa"/>
              <w:right w:w="0" w:type="dxa"/>
            </w:tcMar>
            <w:vAlign w:val="center"/>
          </w:tcPr>
          <w:p>
            <w:pPr>
              <w:pStyle w:val="TableContents"/>
              <w:bidi w:val="0"/>
              <w:spacing w:before="0" w:after="283"/>
              <w:ind w:left="288" w:right="0" w:firstLine="288"/>
              <w:jc w:val="left"/>
              <w:rPr/>
            </w:pPr>
            <w:r>
              <w:rPr/>
              <w:t> </w:t>
            </w:r>
          </w:p>
        </w:tc>
        <w:tc>
          <w:tcPr>
            <w:tcW w:w="2284" w:type="dxa"/>
            <w:tcBorders/>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right w:val="single" w:sz="18" w:space="0" w:color="7855FA"/>
            </w:tcBorders>
            <w:tcMar>
              <w:top w:w="0" w:type="dxa"/>
              <w:left w:w="0" w:type="dxa"/>
              <w:bottom w:w="0" w:type="dxa"/>
            </w:tcMar>
            <w:vAlign w:val="center"/>
          </w:tcPr>
          <w:p>
            <w:pPr>
              <w:pStyle w:val="TableContents"/>
              <w:bidi w:val="0"/>
              <w:spacing w:before="0" w:after="283"/>
              <w:ind w:left="0" w:right="0" w:firstLine="288"/>
              <w:jc w:val="left"/>
              <w:rPr/>
            </w:pPr>
            <w:r>
              <w:rPr/>
              <w:t> </w:t>
            </w:r>
          </w:p>
        </w:tc>
        <w:tc>
          <w:tcPr>
            <w:tcW w:w="2329" w:type="dxa"/>
            <w:vMerge w:val="continue"/>
            <w:tcBorders>
              <w:bottom w:val="single" w:sz="18" w:space="0" w:color="7855FA"/>
              <w:right w:val="single" w:sz="18" w:space="0" w:color="7855FA"/>
            </w:tcBorders>
            <w:tcMar>
              <w:top w:w="0" w:type="dxa"/>
              <w:left w:w="0" w:type="dxa"/>
            </w:tcMar>
            <w:vAlign w:val="center"/>
          </w:tcPr>
          <w:p>
            <w:pPr>
              <w:pStyle w:val="Normal"/>
              <w:bidi w:val="0"/>
              <w:jc w:val="left"/>
              <w:rPr/>
            </w:pPr>
            <w:r>
              <w:rPr/>
            </w:r>
          </w:p>
        </w:tc>
      </w:tr>
      <w:tr>
        <w:trPr/>
        <w:tc>
          <w:tcPr>
            <w:tcW w:w="2164" w:type="dxa"/>
            <w:vMerge w:val="continue"/>
            <w:tcBorders>
              <w:left w:val="single" w:sz="18" w:space="0" w:color="7855FA"/>
              <w:bottom w:val="single" w:sz="18" w:space="0" w:color="7855FA"/>
              <w:right w:val="single" w:sz="18" w:space="0" w:color="7855FA"/>
            </w:tcBorders>
            <w:tcMar>
              <w:top w:w="0" w:type="dxa"/>
            </w:tcMar>
            <w:vAlign w:val="center"/>
          </w:tcPr>
          <w:p>
            <w:pPr>
              <w:pStyle w:val="Normal"/>
              <w:bidi w:val="0"/>
              <w:jc w:val="left"/>
              <w:rPr/>
            </w:pPr>
            <w:r>
              <w:rPr/>
            </w:r>
          </w:p>
        </w:tc>
        <w:tc>
          <w:tcPr>
            <w:tcW w:w="434" w:type="dxa"/>
            <w:tcBorders>
              <w:bottom w:val="single" w:sz="18" w:space="0" w:color="000000"/>
            </w:tcBorders>
            <w:tcMar>
              <w:top w:w="0" w:type="dxa"/>
              <w:left w:w="0" w:type="dxa"/>
              <w:right w:w="0" w:type="dxa"/>
            </w:tcMar>
            <w:vAlign w:val="center"/>
          </w:tcPr>
          <w:p>
            <w:pPr>
              <w:pStyle w:val="TableContents"/>
              <w:bidi w:val="0"/>
              <w:spacing w:before="0" w:after="283"/>
              <w:ind w:left="0" w:right="0" w:firstLine="288"/>
              <w:jc w:val="left"/>
              <w:rPr/>
            </w:pPr>
            <w:r>
              <w:rPr/>
              <w:t> </w:t>
            </w:r>
          </w:p>
        </w:tc>
        <w:tc>
          <w:tcPr>
            <w:tcW w:w="2284" w:type="dxa"/>
            <w:tcBorders/>
            <w:tcMar>
              <w:top w:w="0" w:type="dxa"/>
              <w:left w:w="0" w:type="dxa"/>
              <w:bottom w:w="0" w:type="dxa"/>
              <w:right w:w="0" w:type="dxa"/>
            </w:tcMar>
            <w:vAlign w:val="center"/>
          </w:tcPr>
          <w:p>
            <w:pPr>
              <w:pStyle w:val="TableContents"/>
              <w:bidi w:val="0"/>
              <w:spacing w:before="0" w:after="283"/>
              <w:ind w:left="288" w:right="0" w:firstLine="288"/>
              <w:jc w:val="left"/>
              <w:rPr/>
            </w:pPr>
            <w:r>
              <w:rPr/>
              <w:t> </w:t>
            </w:r>
          </w:p>
        </w:tc>
        <w:tc>
          <w:tcPr>
            <w:tcW w:w="434" w:type="dxa"/>
            <w:tcBorders>
              <w:right w:val="single" w:sz="18" w:space="0" w:color="7855FA"/>
            </w:tcBorders>
            <w:tcMar>
              <w:top w:w="0" w:type="dxa"/>
              <w:left w:w="0" w:type="dxa"/>
              <w:bottom w:w="0" w:type="dxa"/>
            </w:tcMar>
            <w:vAlign w:val="center"/>
          </w:tcPr>
          <w:p>
            <w:pPr>
              <w:pStyle w:val="TableContents"/>
              <w:bidi w:val="0"/>
              <w:spacing w:before="0" w:after="283"/>
              <w:jc w:val="left"/>
              <w:rPr/>
            </w:pPr>
            <w:r>
              <w:rPr/>
              <w:t> </w:t>
            </w:r>
          </w:p>
        </w:tc>
        <w:tc>
          <w:tcPr>
            <w:tcW w:w="2329" w:type="dxa"/>
            <w:vMerge w:val="continue"/>
            <w:tcBorders>
              <w:bottom w:val="single" w:sz="18" w:space="0" w:color="7855FA"/>
              <w:right w:val="single" w:sz="18" w:space="0" w:color="7855FA"/>
            </w:tcBorders>
            <w:tcMar>
              <w:top w:w="0" w:type="dxa"/>
              <w:left w:w="0" w:type="dxa"/>
            </w:tcMar>
            <w:vAlign w:val="center"/>
          </w:tcPr>
          <w:p>
            <w:pPr>
              <w:pStyle w:val="Normal"/>
              <w:bidi w:val="0"/>
              <w:jc w:val="left"/>
              <w:rPr/>
            </w:pPr>
            <w:r>
              <w:rPr/>
            </w:r>
          </w:p>
        </w:tc>
      </w:tr>
      <w:tr>
        <w:trPr/>
        <w:tc>
          <w:tcPr>
            <w:tcW w:w="2164" w:type="dxa"/>
            <w:vMerge w:val="continue"/>
            <w:tcBorders>
              <w:left w:val="single" w:sz="18" w:space="0" w:color="7855FA"/>
              <w:bottom w:val="single" w:sz="18" w:space="0" w:color="7855FA"/>
              <w:right w:val="single" w:sz="18" w:space="0" w:color="7855FA"/>
            </w:tcBorders>
            <w:tcMar>
              <w:top w:w="0" w:type="dxa"/>
            </w:tcMar>
            <w:vAlign w:val="center"/>
          </w:tcPr>
          <w:p>
            <w:pPr>
              <w:pStyle w:val="Normal"/>
              <w:bidi w:val="0"/>
              <w:jc w:val="left"/>
              <w:rPr/>
            </w:pPr>
            <w:r>
              <w:rPr/>
            </w:r>
          </w:p>
        </w:tc>
        <w:tc>
          <w:tcPr>
            <w:tcW w:w="434" w:type="dxa"/>
            <w:tcBorders>
              <w:bottom w:val="single" w:sz="18" w:space="0" w:color="000000"/>
            </w:tcBorders>
            <w:tcMar>
              <w:top w:w="0" w:type="dxa"/>
              <w:left w:w="0" w:type="dxa"/>
              <w:right w:w="0" w:type="dxa"/>
            </w:tcMar>
            <w:vAlign w:val="center"/>
          </w:tcPr>
          <w:p>
            <w:pPr>
              <w:pStyle w:val="TableContents"/>
              <w:bidi w:val="0"/>
              <w:spacing w:before="0" w:after="283"/>
              <w:jc w:val="left"/>
              <w:rPr/>
            </w:pPr>
            <w:r>
              <w:rPr/>
              <w:t> </w:t>
            </w:r>
          </w:p>
        </w:tc>
        <w:tc>
          <w:tcPr>
            <w:tcW w:w="2284" w:type="dxa"/>
            <w:tcBorders/>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right w:val="single" w:sz="18" w:space="0" w:color="7855FA"/>
            </w:tcBorders>
            <w:tcMar>
              <w:top w:w="0" w:type="dxa"/>
              <w:left w:w="0" w:type="dxa"/>
              <w:bottom w:w="0" w:type="dxa"/>
            </w:tcMar>
            <w:vAlign w:val="center"/>
          </w:tcPr>
          <w:p>
            <w:pPr>
              <w:pStyle w:val="TableContents"/>
              <w:bidi w:val="0"/>
              <w:spacing w:before="0" w:after="283"/>
              <w:jc w:val="left"/>
              <w:rPr/>
            </w:pPr>
            <w:r>
              <w:rPr/>
              <w:t> </w:t>
            </w:r>
          </w:p>
        </w:tc>
        <w:tc>
          <w:tcPr>
            <w:tcW w:w="2329" w:type="dxa"/>
            <w:vMerge w:val="continue"/>
            <w:tcBorders>
              <w:bottom w:val="single" w:sz="18" w:space="0" w:color="7855FA"/>
              <w:right w:val="single" w:sz="18" w:space="0" w:color="7855FA"/>
            </w:tcBorders>
            <w:tcMar>
              <w:top w:w="0" w:type="dxa"/>
              <w:left w:w="0" w:type="dxa"/>
            </w:tcMar>
            <w:vAlign w:val="center"/>
          </w:tcPr>
          <w:p>
            <w:pPr>
              <w:pStyle w:val="Normal"/>
              <w:bidi w:val="0"/>
              <w:jc w:val="left"/>
              <w:rPr/>
            </w:pPr>
            <w:r>
              <w:rPr/>
            </w:r>
          </w:p>
        </w:tc>
      </w:tr>
      <w:tr>
        <w:trPr/>
        <w:tc>
          <w:tcPr>
            <w:tcW w:w="2164" w:type="dxa"/>
            <w:vMerge w:val="continue"/>
            <w:tcBorders>
              <w:left w:val="single" w:sz="18" w:space="0" w:color="7855FA"/>
              <w:bottom w:val="single" w:sz="18" w:space="0" w:color="7855FA"/>
              <w:right w:val="single" w:sz="18" w:space="0" w:color="7855FA"/>
            </w:tcBorders>
            <w:tcMar>
              <w:top w:w="0" w:type="dxa"/>
            </w:tcMar>
            <w:vAlign w:val="center"/>
          </w:tcPr>
          <w:p>
            <w:pPr>
              <w:pStyle w:val="Normal"/>
              <w:bidi w:val="0"/>
              <w:jc w:val="left"/>
              <w:rPr/>
            </w:pPr>
            <w:r>
              <w:rPr/>
            </w:r>
          </w:p>
        </w:tc>
        <w:tc>
          <w:tcPr>
            <w:tcW w:w="434" w:type="dxa"/>
            <w:tcBorders>
              <w:bottom w:val="single" w:sz="18" w:space="0" w:color="000000"/>
              <w:right w:val="single" w:sz="18" w:space="0" w:color="7855FA"/>
            </w:tcBorders>
            <w:tcMar>
              <w:top w:w="0" w:type="dxa"/>
              <w:left w:w="0" w:type="dxa"/>
            </w:tcMar>
            <w:vAlign w:val="center"/>
          </w:tcPr>
          <w:p>
            <w:pPr>
              <w:pStyle w:val="TableContents"/>
              <w:bidi w:val="0"/>
              <w:spacing w:before="0" w:after="283"/>
              <w:ind w:left="0" w:right="0" w:firstLine="288"/>
              <w:jc w:val="left"/>
              <w:rPr/>
            </w:pPr>
            <w:r>
              <w:rPr/>
              <w:t> </w:t>
            </w:r>
          </w:p>
        </w:tc>
        <w:tc>
          <w:tcPr>
            <w:tcW w:w="2284" w:type="dxa"/>
            <w:tcBorders>
              <w:right w:val="single" w:sz="18" w:space="0" w:color="7855FA"/>
            </w:tcBorders>
            <w:shd w:fill="7855FA" w:val="clear"/>
            <w:tcMar>
              <w:top w:w="0" w:type="dxa"/>
              <w:left w:w="0" w:type="dxa"/>
              <w:bottom w:w="0" w:type="dxa"/>
            </w:tcMar>
            <w:vAlign w:val="center"/>
          </w:tcPr>
          <w:p>
            <w:pPr>
              <w:pStyle w:val="TableContents"/>
              <w:bidi w:val="0"/>
              <w:spacing w:before="60" w:after="60"/>
              <w:ind w:left="288" w:right="0" w:firstLine="288"/>
              <w:jc w:val="left"/>
              <w:rPr>
                <w:rFonts w:ascii="Montserrat;sans-serif" w:hAnsi="Montserrat;sans-serif"/>
                <w:b/>
                <w:color w:val="FFFFFF"/>
                <w:sz w:val="18"/>
              </w:rPr>
            </w:pPr>
            <w:r>
              <w:rPr>
                <w:rFonts w:ascii="Montserrat;sans-serif" w:hAnsi="Montserrat;sans-serif"/>
                <w:b/>
                <w:color w:val="FFFFFF"/>
                <w:sz w:val="18"/>
              </w:rPr>
              <w:t>Removals</w:t>
            </w:r>
          </w:p>
        </w:tc>
        <w:tc>
          <w:tcPr>
            <w:tcW w:w="434" w:type="dxa"/>
            <w:tcBorders>
              <w:right w:val="single" w:sz="18" w:space="0" w:color="7855FA"/>
            </w:tcBorders>
            <w:tcMar>
              <w:top w:w="0" w:type="dxa"/>
              <w:left w:w="0" w:type="dxa"/>
              <w:bottom w:w="0" w:type="dxa"/>
            </w:tcMar>
            <w:vAlign w:val="center"/>
          </w:tcPr>
          <w:p>
            <w:pPr>
              <w:pStyle w:val="TableContents"/>
              <w:bidi w:val="0"/>
              <w:spacing w:before="0" w:after="283"/>
              <w:jc w:val="left"/>
              <w:rPr/>
            </w:pPr>
            <w:r>
              <w:rPr/>
              <w:t> </w:t>
            </w:r>
          </w:p>
        </w:tc>
        <w:tc>
          <w:tcPr>
            <w:tcW w:w="2329" w:type="dxa"/>
            <w:vMerge w:val="continue"/>
            <w:tcBorders>
              <w:bottom w:val="single" w:sz="18" w:space="0" w:color="7855FA"/>
              <w:right w:val="single" w:sz="18" w:space="0" w:color="7855FA"/>
            </w:tcBorders>
            <w:tcMar>
              <w:top w:w="0" w:type="dxa"/>
              <w:left w:w="0" w:type="dxa"/>
            </w:tcMar>
            <w:vAlign w:val="center"/>
          </w:tcPr>
          <w:p>
            <w:pPr>
              <w:pStyle w:val="Normal"/>
              <w:bidi w:val="0"/>
              <w:jc w:val="left"/>
              <w:rPr/>
            </w:pPr>
            <w:r>
              <w:rPr/>
            </w:r>
          </w:p>
        </w:tc>
      </w:tr>
      <w:tr>
        <w:trPr/>
        <w:tc>
          <w:tcPr>
            <w:tcW w:w="2164" w:type="dxa"/>
            <w:vMerge w:val="continue"/>
            <w:tcBorders>
              <w:left w:val="single" w:sz="18" w:space="0" w:color="7855FA"/>
              <w:bottom w:val="single" w:sz="18" w:space="0" w:color="7855FA"/>
              <w:right w:val="single" w:sz="18" w:space="0" w:color="7855FA"/>
            </w:tcBorders>
            <w:tcMar>
              <w:top w:w="0" w:type="dxa"/>
            </w:tcMar>
            <w:vAlign w:val="center"/>
          </w:tcPr>
          <w:p>
            <w:pPr>
              <w:pStyle w:val="Normal"/>
              <w:bidi w:val="0"/>
              <w:jc w:val="left"/>
              <w:rPr/>
            </w:pPr>
            <w:r>
              <w:rPr/>
            </w:r>
          </w:p>
        </w:tc>
        <w:tc>
          <w:tcPr>
            <w:tcW w:w="434" w:type="dxa"/>
            <w:tcBorders>
              <w:bottom w:val="single" w:sz="18" w:space="0" w:color="000000"/>
              <w:right w:val="single" w:sz="18" w:space="0" w:color="7855FA"/>
            </w:tcBorders>
            <w:tcMar>
              <w:top w:w="0" w:type="dxa"/>
              <w:left w:w="0" w:type="dxa"/>
            </w:tcMar>
            <w:vAlign w:val="center"/>
          </w:tcPr>
          <w:p>
            <w:pPr>
              <w:pStyle w:val="TableContents"/>
              <w:bidi w:val="0"/>
              <w:spacing w:before="0" w:after="283"/>
              <w:ind w:left="0" w:right="0" w:firstLine="288"/>
              <w:jc w:val="center"/>
              <w:rPr/>
            </w:pPr>
            <w:r>
              <w:rPr/>
              <w:t> </w:t>
            </w:r>
          </w:p>
        </w:tc>
        <w:tc>
          <w:tcPr>
            <w:tcW w:w="2284" w:type="dxa"/>
            <w:tcBorders>
              <w:bottom w:val="single" w:sz="18" w:space="0" w:color="7855FA"/>
              <w:right w:val="single" w:sz="18" w:space="0" w:color="7855FA"/>
            </w:tcBorders>
            <w:tcMar>
              <w:top w:w="0" w:type="dxa"/>
              <w:left w:w="0" w:type="dxa"/>
            </w:tcMar>
            <w:vAlign w:val="center"/>
          </w:tcPr>
          <w:p>
            <w:pPr>
              <w:pStyle w:val="TableContents"/>
              <w:bidi w:val="0"/>
              <w:spacing w:before="60" w:after="60"/>
              <w:ind w:left="288" w:right="0" w:firstLine="288"/>
              <w:jc w:val="left"/>
              <w:rPr>
                <w:rFonts w:ascii="Montserrat;sans-serif" w:hAnsi="Montserrat;sans-serif"/>
                <w:color w:val="000000"/>
                <w:sz w:val="18"/>
              </w:rPr>
            </w:pPr>
            <w:r>
              <w:rPr>
                <w:rFonts w:ascii="Montserrat;sans-serif" w:hAnsi="Montserrat;sans-serif"/>
                <w:color w:val="000000"/>
                <w:sz w:val="18"/>
              </w:rPr>
              <w:t>Cloudflare</w:t>
            </w:r>
          </w:p>
          <w:p>
            <w:pPr>
              <w:pStyle w:val="TableContents"/>
              <w:bidi w:val="0"/>
              <w:spacing w:before="0" w:after="60"/>
              <w:ind w:left="288" w:right="0" w:firstLine="288"/>
              <w:jc w:val="left"/>
              <w:rPr>
                <w:rFonts w:ascii="Montserrat;sans-serif" w:hAnsi="Montserrat;sans-serif"/>
                <w:color w:val="000000"/>
                <w:sz w:val="18"/>
              </w:rPr>
            </w:pPr>
            <w:r>
              <w:rPr>
                <w:rFonts w:ascii="Montserrat;sans-serif" w:hAnsi="Montserrat;sans-serif"/>
                <w:color w:val="000000"/>
                <w:sz w:val="18"/>
              </w:rPr>
              <w:t>Datadog</w:t>
            </w:r>
          </w:p>
          <w:p>
            <w:pPr>
              <w:pStyle w:val="TableContents"/>
              <w:bidi w:val="0"/>
              <w:spacing w:before="0" w:after="60"/>
              <w:ind w:left="288" w:right="0" w:firstLine="288"/>
              <w:jc w:val="left"/>
              <w:rPr>
                <w:rFonts w:ascii="Montserrat;sans-serif" w:hAnsi="Montserrat;sans-serif"/>
                <w:color w:val="000000"/>
                <w:sz w:val="18"/>
              </w:rPr>
            </w:pPr>
            <w:r>
              <w:rPr>
                <w:rFonts w:ascii="Montserrat;sans-serif" w:hAnsi="Montserrat;sans-serif"/>
                <w:color w:val="000000"/>
                <w:sz w:val="18"/>
              </w:rPr>
              <w:t>Snowflake</w:t>
            </w:r>
          </w:p>
        </w:tc>
        <w:tc>
          <w:tcPr>
            <w:tcW w:w="434" w:type="dxa"/>
            <w:tcBorders>
              <w:bottom w:val="single" w:sz="18" w:space="0" w:color="000000"/>
              <w:right w:val="single" w:sz="18" w:space="0" w:color="7855FA"/>
            </w:tcBorders>
            <w:tcMar>
              <w:top w:w="0" w:type="dxa"/>
              <w:left w:w="0" w:type="dxa"/>
            </w:tcMar>
            <w:vAlign w:val="center"/>
          </w:tcPr>
          <w:p>
            <w:pPr>
              <w:pStyle w:val="TableContents"/>
              <w:bidi w:val="0"/>
              <w:spacing w:before="0" w:after="283"/>
              <w:jc w:val="left"/>
              <w:rPr/>
            </w:pPr>
            <w:r>
              <w:rPr/>
              <w:t> </w:t>
            </w:r>
          </w:p>
        </w:tc>
        <w:tc>
          <w:tcPr>
            <w:tcW w:w="2329" w:type="dxa"/>
            <w:vMerge w:val="continue"/>
            <w:tcBorders>
              <w:bottom w:val="single" w:sz="18" w:space="0" w:color="7855FA"/>
              <w:right w:val="single" w:sz="18" w:space="0" w:color="7855FA"/>
            </w:tcBorders>
            <w:tcMar>
              <w:top w:w="0" w:type="dxa"/>
              <w:left w:w="0" w:type="dxa"/>
            </w:tcMar>
            <w:vAlign w:val="center"/>
          </w:tcPr>
          <w:p>
            <w:pPr>
              <w:pStyle w:val="Normal"/>
              <w:bidi w:val="0"/>
              <w:jc w:val="left"/>
              <w:rPr/>
            </w:pPr>
            <w:r>
              <w:rPr/>
            </w:r>
          </w:p>
        </w:tc>
      </w:tr>
      <w:tr>
        <w:trPr/>
        <w:tc>
          <w:tcPr>
            <w:tcW w:w="2164" w:type="dxa"/>
            <w:vMerge w:val="continue"/>
            <w:tcBorders>
              <w:left w:val="single" w:sz="18" w:space="0" w:color="7855FA"/>
              <w:bottom w:val="single" w:sz="18" w:space="0" w:color="7855FA"/>
              <w:right w:val="single" w:sz="18" w:space="0" w:color="7855FA"/>
            </w:tcBorders>
            <w:tcMar>
              <w:top w:w="0" w:type="dxa"/>
            </w:tcMar>
            <w:vAlign w:val="center"/>
          </w:tcPr>
          <w:p>
            <w:pPr>
              <w:pStyle w:val="Normal"/>
              <w:bidi w:val="0"/>
              <w:jc w:val="left"/>
              <w:rPr/>
            </w:pPr>
            <w:r>
              <w:rPr/>
            </w:r>
          </w:p>
        </w:tc>
        <w:tc>
          <w:tcPr>
            <w:tcW w:w="434" w:type="dxa"/>
            <w:tcBorders>
              <w:bottom w:val="single" w:sz="18" w:space="0" w:color="000000"/>
            </w:tcBorders>
            <w:tcMar>
              <w:top w:w="0" w:type="dxa"/>
              <w:left w:w="0" w:type="dxa"/>
              <w:right w:w="0" w:type="dxa"/>
            </w:tcMar>
            <w:vAlign w:val="center"/>
          </w:tcPr>
          <w:p>
            <w:pPr>
              <w:pStyle w:val="TableContents"/>
              <w:bidi w:val="0"/>
              <w:spacing w:before="60" w:after="60"/>
              <w:jc w:val="left"/>
              <w:rPr/>
            </w:pPr>
            <w:r>
              <w:rPr/>
              <w:t> </w:t>
            </w:r>
          </w:p>
        </w:tc>
        <w:tc>
          <w:tcPr>
            <w:tcW w:w="2284" w:type="dxa"/>
            <w:tcBorders/>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right w:val="single" w:sz="18" w:space="0" w:color="7855FA"/>
            </w:tcBorders>
            <w:tcMar>
              <w:top w:w="0" w:type="dxa"/>
              <w:left w:w="0" w:type="dxa"/>
              <w:bottom w:w="0" w:type="dxa"/>
            </w:tcMar>
            <w:vAlign w:val="center"/>
          </w:tcPr>
          <w:p>
            <w:pPr>
              <w:pStyle w:val="TableContents"/>
              <w:bidi w:val="0"/>
              <w:spacing w:before="0" w:after="283"/>
              <w:jc w:val="left"/>
              <w:rPr/>
            </w:pPr>
            <w:r>
              <w:rPr/>
              <w:t> </w:t>
            </w:r>
          </w:p>
        </w:tc>
        <w:tc>
          <w:tcPr>
            <w:tcW w:w="2329" w:type="dxa"/>
            <w:vMerge w:val="continue"/>
            <w:tcBorders>
              <w:bottom w:val="single" w:sz="18" w:space="0" w:color="7855FA"/>
              <w:right w:val="single" w:sz="18" w:space="0" w:color="7855FA"/>
            </w:tcBorders>
            <w:tcMar>
              <w:top w:w="0" w:type="dxa"/>
              <w:left w:w="0" w:type="dxa"/>
            </w:tcMar>
            <w:vAlign w:val="center"/>
          </w:tcPr>
          <w:p>
            <w:pPr>
              <w:pStyle w:val="Normal"/>
              <w:bidi w:val="0"/>
              <w:jc w:val="left"/>
              <w:rPr/>
            </w:pPr>
            <w:r>
              <w:rPr/>
            </w:r>
          </w:p>
        </w:tc>
      </w:tr>
    </w:tbl>
    <w:p>
      <w:pPr>
        <w:pStyle w:val="TextBody"/>
        <w:bidi w:val="0"/>
        <w:jc w:val="left"/>
        <w:rPr/>
      </w:pPr>
      <w:r>
        <w:rPr/>
        <w:t> </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301"/>
        <w:gridCol w:w="2671"/>
      </w:tblGrid>
      <w:tr>
        <w:trPr/>
        <w:tc>
          <w:tcPr>
            <w:tcW w:w="30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54</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200"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91" descr=""/>
                          <pic:cNvPicPr>
                            <a:picLocks noChangeAspect="1" noChangeArrowheads="1"/>
                          </pic:cNvPicPr>
                        </pic:nvPicPr>
                        <pic:blipFill>
                          <a:blip r:embed="rId193"/>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rFonts w:ascii="Montserrat;sans-serif" w:hAnsi="Montserrat;sans-serif"/>
          <w:color w:val="000000"/>
          <w:sz w:val="13"/>
        </w:rPr>
      </w:pPr>
      <w:r>
        <w:rPr>
          <w:rFonts w:ascii="Montserrat;sans-serif" w:hAnsi="Montserrat;sans-serif"/>
          <w:color w:val="000000"/>
          <w:sz w:val="13"/>
        </w:rPr>
        <w:t>Executive Compensation</w:t>
      </w:r>
    </w:p>
    <w:p>
      <w:pPr>
        <w:pStyle w:val="TextBody"/>
        <w:bidi w:val="0"/>
        <w:spacing w:before="60" w:after="283"/>
        <w:jc w:val="right"/>
        <w:rPr>
          <w:rFonts w:ascii="Montserrat;sans-serif" w:hAnsi="Montserrat;sans-serif"/>
          <w:color w:val="000000"/>
          <w:sz w:val="12"/>
        </w:rPr>
      </w:pPr>
      <w:r>
        <w:rPr>
          <w:rFonts w:ascii="Montserrat;sans-serif" w:hAnsi="Montserrat;sans-serif"/>
          <w:color w:val="000000"/>
          <w:sz w:val="12"/>
        </w:rPr>
        <w:t>Compensation Discussion and Analysis</w:t>
      </w:r>
    </w:p>
    <w:p>
      <w:pPr>
        <w:pStyle w:val="TextBody"/>
        <w:bidi w:val="0"/>
        <w:jc w:val="right"/>
        <w:rPr/>
      </w:pPr>
      <w:r>
        <w:rPr/>
        <w:t> </w:t>
      </w:r>
    </w:p>
    <w:p>
      <w:pPr>
        <w:pStyle w:val="TextBody"/>
        <w:bidi w:val="0"/>
        <w:jc w:val="right"/>
        <w:rPr/>
      </w:pPr>
      <w:r>
        <w:rPr/>
        <w:t> </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following graphic illustrates our size relative to the fiscal year 2027 peer group based on annual revenue (trailing four quarters as reported) and market capitalization as of July 31, 2026.</w:t>
      </w:r>
    </w:p>
    <w:p>
      <w:pPr>
        <w:pStyle w:val="TextBody"/>
        <w:bidi w:val="0"/>
        <w:jc w:val="both"/>
        <w:rPr/>
      </w:pPr>
      <w:r>
        <w:rPr/>
        <w:t> </w:t>
      </w:r>
    </w:p>
    <w:p>
      <w:pPr>
        <w:pStyle w:val="TextBody"/>
        <w:bidi w:val="0"/>
        <w:jc w:val="center"/>
        <w:rPr/>
      </w:pPr>
      <w:r>
        <w:rPr/>
        <w:drawing>
          <wp:inline distT="0" distB="0" distL="0" distR="0">
            <wp:extent cx="5953125" cy="2419350"/>
            <wp:effectExtent l="0" t="0" r="0" b="0"/>
            <wp:docPr id="201"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92" descr=""/>
                    <pic:cNvPicPr>
                      <a:picLocks noChangeAspect="1" noChangeArrowheads="1"/>
                    </pic:cNvPicPr>
                  </pic:nvPicPr>
                  <pic:blipFill>
                    <a:blip r:embed="rId194"/>
                    <a:stretch>
                      <a:fillRect/>
                    </a:stretch>
                  </pic:blipFill>
                  <pic:spPr bwMode="auto">
                    <a:xfrm>
                      <a:off x="0" y="0"/>
                      <a:ext cx="5953125" cy="2419350"/>
                    </a:xfrm>
                    <a:prstGeom prst="rect">
                      <a:avLst/>
                    </a:prstGeom>
                  </pic:spPr>
                </pic:pic>
              </a:graphicData>
            </a:graphic>
          </wp:inline>
        </w:drawing>
      </w:r>
    </w:p>
    <w:p>
      <w:pPr>
        <w:pStyle w:val="TextBody"/>
        <w:bidi w:val="0"/>
        <w:jc w:val="center"/>
        <w:rPr/>
      </w:pPr>
      <w:r>
        <w:rPr/>
        <w:t> </w:t>
      </w:r>
    </w:p>
    <w:p>
      <w:pPr>
        <w:pStyle w:val="TextBody"/>
        <w:bidi w:val="0"/>
        <w:spacing w:before="180" w:after="283"/>
        <w:jc w:val="left"/>
        <w:rPr>
          <w:rFonts w:ascii="Montserrat;sans-serif" w:hAnsi="Montserrat;sans-serif"/>
          <w:b/>
          <w:color w:val="000000"/>
          <w:sz w:val="22"/>
        </w:rPr>
      </w:pPr>
      <w:r>
        <w:rPr>
          <w:rFonts w:ascii="Montserrat;sans-serif" w:hAnsi="Montserrat;sans-serif"/>
          <w:b/>
          <w:color w:val="000000"/>
          <w:sz w:val="22"/>
        </w:rPr>
        <w:t>Employment Arrangements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We have employment agreements with our currently employed NEOs. Each of these arrangements provides for “at-will” employment and sets forth the initial terms and conditions of employment of the NEO, including base salary, target annual incentive opportunity, standard employee benefit plan participation, a recommendation for an initial grant of an option to purchase shares of our common stock or other equity awards, opportunities for post-employment compensation and vesting acceleration terms. These agreements also set forth the rights and responsibilities of each party and may protect both parties’ interests in the event of a termination of employment by providing for certain payments and benefits under specified circumstances, including following a change of control of our company. These offers of employment were each subject to the execution of a standard proprietary information and invention assignment agreement and proof of identity and work eligibility in the United States.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Each of these agreements was approved on our behalf by the Compensation Committee or our Board at the recommendation of the Compensation Committee. We believe that these arrangements were necessary to induce these individuals to forgo other employment opportunities or leave their then-current employer for the uncertainty of a demanding position in a new and unfamiliar organization.</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For a summary of the material terms and conditions of our employment agreements with our NEOs, see the section titled “</w:t>
      </w:r>
      <w:r>
        <w:rPr>
          <w:rFonts w:ascii="Montserrat;sans-serif" w:hAnsi="Montserrat;sans-serif"/>
          <w:color w:val="7855FA"/>
          <w:sz w:val="18"/>
        </w:rPr>
        <w:t>Executive Compensation – Employment Arrangements</w:t>
      </w:r>
      <w:r>
        <w:rPr>
          <w:rFonts w:ascii="Montserrat;sans-serif" w:hAnsi="Montserrat;sans-serif"/>
          <w:color w:val="000000"/>
          <w:sz w:val="18"/>
        </w:rPr>
        <w:t>” below.</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Other Compensation Policies and Practices</w:t>
      </w:r>
    </w:p>
    <w:p>
      <w:pPr>
        <w:pStyle w:val="TextBody"/>
        <w:bidi w:val="0"/>
        <w:spacing w:before="360" w:after="283"/>
        <w:jc w:val="left"/>
        <w:rPr>
          <w:rFonts w:ascii="Montserrat;Montserrat Medium;sans-serif" w:hAnsi="Montserrat;Montserrat Medium;sans-serif"/>
          <w:b/>
          <w:color w:val="7855FA"/>
          <w:sz w:val="20"/>
        </w:rPr>
      </w:pPr>
      <w:r>
        <w:rPr>
          <w:rFonts w:ascii="Montserrat;Montserrat Medium;sans-serif" w:hAnsi="Montserrat;Montserrat Medium;sans-serif"/>
          <w:b/>
          <w:color w:val="7855FA"/>
          <w:sz w:val="20"/>
        </w:rPr>
        <w:t>Employee Benefits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We provide employee benefits to all eligible employees in the United States, including our currently employed NEOs, which the Compensation Committee believes are reasonable and consistent with its overall compensation objective to better enable us to attract and retain employees. These benefits include medical, dental and vision insurance, health savings accounts, a 401(k) plan, life and disability insurance, flexible spending accounts, an employee stock purchase plan, and other plans and programs.</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2641"/>
        <w:gridCol w:w="331"/>
      </w:tblGrid>
      <w:tr>
        <w:trPr/>
        <w:tc>
          <w:tcPr>
            <w:tcW w:w="26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202"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93" descr=""/>
                          <pic:cNvPicPr>
                            <a:picLocks noChangeAspect="1" noChangeArrowheads="1"/>
                          </pic:cNvPicPr>
                        </pic:nvPicPr>
                        <pic:blipFill>
                          <a:blip r:embed="rId195"/>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3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55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rFonts w:ascii="Montserrat;sans-serif" w:hAnsi="Montserrat;sans-serif"/>
          <w:color w:val="000000"/>
          <w:sz w:val="13"/>
        </w:rPr>
      </w:pPr>
      <w:r>
        <w:rPr>
          <w:rFonts w:ascii="Montserrat;sans-serif" w:hAnsi="Montserrat;sans-serif"/>
          <w:color w:val="000000"/>
          <w:sz w:val="13"/>
        </w:rPr>
        <w:t>Executive Compensation</w:t>
      </w:r>
    </w:p>
    <w:p>
      <w:pPr>
        <w:pStyle w:val="TextBody"/>
        <w:bidi w:val="0"/>
        <w:spacing w:before="60" w:after="283"/>
        <w:jc w:val="left"/>
        <w:rPr>
          <w:rFonts w:ascii="Montserrat;sans-serif" w:hAnsi="Montserrat;sans-serif"/>
          <w:color w:val="000000"/>
          <w:sz w:val="12"/>
        </w:rPr>
      </w:pPr>
      <w:r>
        <w:rPr>
          <w:rFonts w:ascii="Montserrat;sans-serif" w:hAnsi="Montserrat;sans-serif"/>
          <w:color w:val="000000"/>
          <w:sz w:val="12"/>
        </w:rPr>
        <w:t>Compensation Discussion and Analysis</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Montserrat;Montserrat Medium;sans-serif" w:hAnsi="Montserrat;Montserrat Medium;sans-serif"/>
          <w:b/>
          <w:color w:val="7855FA"/>
          <w:sz w:val="20"/>
        </w:rPr>
      </w:pPr>
      <w:r>
        <w:rPr>
          <w:rFonts w:ascii="Montserrat;Montserrat Medium;sans-serif" w:hAnsi="Montserrat;Montserrat Medium;sans-serif"/>
          <w:b/>
          <w:color w:val="7855FA"/>
          <w:sz w:val="20"/>
        </w:rPr>
        <w:t>Stock Ownership Guidelines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Our Board believes that our executive officers should acquire and hold a significant equity interest in Nutanix. Our company has adopted stock ownership guidelines for our executive leadership team members, including our NEOs. The stock ownership guidelines are intended to further align the interests of our executive leadership team members and our stockholders. Qualifying holdings generally include shares owned directly or beneficially by the executive leadership team member or immediate family members residing in the same household. Unvested equity awards do not count toward satisfaction of ownership requirements. Executive leadership team members are expected to achieve the applicable minimum ownership requirement within five years of the later of when the guidelines were adopted in March 2024 or the date they join the executive leadership team. As of July 31, 2026, each NEO exceeded the applicable required ownership level.</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following table lists the specific ownership requirements for our NEOs.</w:t>
      </w:r>
    </w:p>
    <w:p>
      <w:pPr>
        <w:pStyle w:val="TextBody"/>
        <w:bidi w:val="0"/>
        <w:jc w:val="both"/>
        <w:rPr/>
      </w:pPr>
      <w:r>
        <w:rPr/>
        <w:t> </w:t>
      </w:r>
    </w:p>
    <w:tbl>
      <w:tblPr>
        <w:tblW w:w="7898" w:type="dxa"/>
        <w:jc w:val="left"/>
        <w:tblInd w:w="0" w:type="dxa"/>
        <w:tblLayout w:type="fixed"/>
        <w:tblCellMar>
          <w:top w:w="28" w:type="dxa"/>
          <w:left w:w="28" w:type="dxa"/>
          <w:bottom w:w="28" w:type="dxa"/>
          <w:right w:w="28" w:type="dxa"/>
        </w:tblCellMar>
      </w:tblPr>
      <w:tblGrid>
        <w:gridCol w:w="3461"/>
        <w:gridCol w:w="146"/>
        <w:gridCol w:w="4291"/>
      </w:tblGrid>
      <w:tr>
        <w:trPr/>
        <w:tc>
          <w:tcPr>
            <w:tcW w:w="3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1" w:type="dxa"/>
            <w:tcBorders/>
            <w:vAlign w:val="center"/>
          </w:tcPr>
          <w:p>
            <w:pPr>
              <w:pStyle w:val="TableContents"/>
              <w:bidi w:val="0"/>
              <w:spacing w:before="0" w:after="283"/>
              <w:jc w:val="left"/>
              <w:rPr>
                <w:sz w:val="4"/>
                <w:szCs w:val="4"/>
              </w:rPr>
            </w:pPr>
            <w:r>
              <w:rPr>
                <w:sz w:val="4"/>
                <w:szCs w:val="4"/>
              </w:rPr>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Montserrat;sans-serif" w:hAnsi="Montserrat;sans-serif"/>
                <w:b/>
                <w:color w:val="7855FA"/>
                <w:sz w:val="18"/>
              </w:rPr>
            </w:pPr>
            <w:r>
              <w:rPr>
                <w:rFonts w:ascii="Montserrat;sans-serif" w:hAnsi="Montserrat;sans-serif"/>
                <w:b/>
                <w:color w:val="7855FA"/>
                <w:sz w:val="18"/>
              </w:rPr>
              <w:t>Position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9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8"/>
              </w:rPr>
            </w:pPr>
            <w:r>
              <w:rPr>
                <w:rFonts w:ascii="Montserrat;sans-serif" w:hAnsi="Montserrat;sans-serif"/>
                <w:b/>
                <w:color w:val="7855FA"/>
                <w:sz w:val="18"/>
              </w:rPr>
              <w:t>Minimum Stock Ownership Requirement</w:t>
              <w:br/>
              <w:t>(as % of Base Salary)</w:t>
            </w:r>
          </w:p>
        </w:tc>
      </w:tr>
      <w:tr>
        <w:trPr/>
        <w:tc>
          <w:tcPr>
            <w:tcW w:w="346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4291"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346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CEO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rFonts w:ascii="Montserrat;sans-serif" w:hAnsi="Montserrat;sans-serif"/>
                <w:color w:val="000000"/>
                <w:sz w:val="18"/>
              </w:rPr>
            </w:pPr>
            <w:r>
              <w:rPr>
                <w:rFonts w:ascii="Montserrat;sans-serif" w:hAnsi="Montserrat;sans-serif"/>
                <w:color w:val="000000"/>
                <w:sz w:val="18"/>
              </w:rPr>
              <w:t>500%</w:t>
            </w:r>
          </w:p>
        </w:tc>
      </w:tr>
      <w:tr>
        <w:trPr/>
        <w:tc>
          <w:tcPr>
            <w:tcW w:w="3461"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Other Named Executive Officers</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429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100%</w:t>
            </w:r>
          </w:p>
        </w:tc>
      </w:tr>
    </w:tbl>
    <w:p>
      <w:pPr>
        <w:pStyle w:val="TextBody"/>
        <w:bidi w:val="0"/>
        <w:jc w:val="both"/>
        <w:rPr/>
      </w:pPr>
      <w:r>
        <w:rPr/>
        <w:t> </w:t>
      </w:r>
    </w:p>
    <w:p>
      <w:pPr>
        <w:pStyle w:val="TextBody"/>
        <w:bidi w:val="0"/>
        <w:spacing w:before="180" w:after="283"/>
        <w:jc w:val="left"/>
        <w:rPr>
          <w:rFonts w:ascii="Montserrat;Montserrat Medium;sans-serif" w:hAnsi="Montserrat;Montserrat Medium;sans-serif"/>
          <w:b/>
          <w:color w:val="7855FA"/>
          <w:sz w:val="20"/>
        </w:rPr>
      </w:pPr>
      <w:r>
        <w:rPr>
          <w:rFonts w:ascii="Montserrat;Montserrat Medium;sans-serif" w:hAnsi="Montserrat;Montserrat Medium;sans-serif"/>
          <w:b/>
          <w:color w:val="7855FA"/>
          <w:sz w:val="20"/>
        </w:rPr>
        <w:t>Stock Trading Practices; Hedging and Pledging Policy</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We maintain the Nutanix, Inc. Insider Trading Policy (the “Insider Trading Policy”), which governs transactions involving our securities, including the purchase, sale and/or other dispositions of our securities, by our directors, officers, employees and other covered persons. Our Insider Trading Policy and the related Rule 10b5-1 trading plan guidelines adopted by Nutanix are reasonably designed to promote compliance with insider trading laws, rules and regulations, and the listing requirements of the Nasdaq Global Select Market. A copy of our Insider Trading Policy is filed as Exhibit 19.1 to our Annual Report on Form 10-K for our fiscal year ended July 31, 2026 filed with the SEC on September 18, 2026. Our Insider Trading Policy, among other things, prohibits our directors, executive officers, and employees from trading during quarterly and special trading restrictions. We also prohibit short sales, hedging, and similar transactions designed to decrease the risks associated with holding our securities, as well as pledging our securities as collateral for loans and transactions involving derivative securities relating to our common stock. Our Insider Trading Policy requires that all directors, executive officers, and certain other key employees, including our NEOs, pre-clear with our legal department any proposed open market transactions.</w:t>
      </w:r>
    </w:p>
    <w:p>
      <w:pPr>
        <w:pStyle w:val="TextBody"/>
        <w:bidi w:val="0"/>
        <w:spacing w:before="360" w:after="283"/>
        <w:jc w:val="left"/>
        <w:rPr>
          <w:rFonts w:ascii="Montserrat;Montserrat Medium;sans-serif" w:hAnsi="Montserrat;Montserrat Medium;sans-serif"/>
          <w:b/>
          <w:color w:val="7855FA"/>
          <w:sz w:val="20"/>
        </w:rPr>
      </w:pPr>
      <w:r>
        <w:rPr>
          <w:rFonts w:ascii="Montserrat;Montserrat Medium;sans-serif" w:hAnsi="Montserrat;Montserrat Medium;sans-serif"/>
          <w:b/>
          <w:color w:val="7855FA"/>
          <w:sz w:val="20"/>
        </w:rPr>
        <w:t>Compensation Recovery Policy</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Compensation Committee has adopted a Compensation Recovery Policy that is intended to comply with Section 10D of the Exchange Act, Exchange Act Rule 10D-1, and Nasdaq listing rules. This policy provides that our company will recover reasonably promptly the amount of erroneously awarded incentive-based compensation received by our executive officers in the event that our company is required to prepare an accounting restatement due to the material noncompliance of our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This policy applies to incentive-based compensation received on or after October 2, 2023, and during the three completed fiscal years immediately preceding the date that our company is required to prepare an accounting restatement.</w:t>
      </w:r>
    </w:p>
    <w:p>
      <w:pPr>
        <w:pStyle w:val="TextBody"/>
        <w:bidi w:val="0"/>
        <w:spacing w:before="360" w:after="283"/>
        <w:jc w:val="left"/>
        <w:rPr>
          <w:rFonts w:ascii="Montserrat;Montserrat Medium;sans-serif" w:hAnsi="Montserrat;Montserrat Medium;sans-serif"/>
          <w:b/>
          <w:color w:val="7855FA"/>
          <w:sz w:val="20"/>
        </w:rPr>
      </w:pPr>
      <w:r>
        <w:rPr>
          <w:rFonts w:ascii="Montserrat;Montserrat Medium;sans-serif" w:hAnsi="Montserrat;Montserrat Medium;sans-serif"/>
          <w:b/>
          <w:color w:val="7855FA"/>
          <w:sz w:val="20"/>
        </w:rPr>
        <w:t>Policies and Practices Related to the Timing of Option Awards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We do not currently grant new awards of stock options, stock appreciation rights, or similar option-like instruments. Accordingly, we have no specific policy or practice on the timing of awards of such options in relation to the disclosure of material nonpublic information by our company. In the event that we determine to grant new awards of such options in the future, our Board will evaluate the appropriate steps to take in relation to the foregoing.</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301"/>
        <w:gridCol w:w="2671"/>
      </w:tblGrid>
      <w:tr>
        <w:trPr/>
        <w:tc>
          <w:tcPr>
            <w:tcW w:w="30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56</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203"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94" descr=""/>
                          <pic:cNvPicPr>
                            <a:picLocks noChangeAspect="1" noChangeArrowheads="1"/>
                          </pic:cNvPicPr>
                        </pic:nvPicPr>
                        <pic:blipFill>
                          <a:blip r:embed="rId196"/>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rFonts w:ascii="Montserrat;sans-serif" w:hAnsi="Montserrat;sans-serif"/>
          <w:color w:val="000000"/>
          <w:sz w:val="13"/>
        </w:rPr>
      </w:pPr>
      <w:r>
        <w:rPr>
          <w:rFonts w:ascii="Montserrat;sans-serif" w:hAnsi="Montserrat;sans-serif"/>
          <w:color w:val="000000"/>
          <w:sz w:val="13"/>
        </w:rPr>
        <w:t>Executive Compensation</w:t>
      </w:r>
    </w:p>
    <w:p>
      <w:pPr>
        <w:pStyle w:val="TextBody"/>
        <w:bidi w:val="0"/>
        <w:spacing w:before="60" w:after="283"/>
        <w:jc w:val="right"/>
        <w:rPr>
          <w:rFonts w:ascii="Montserrat;sans-serif" w:hAnsi="Montserrat;sans-serif"/>
          <w:color w:val="000000"/>
          <w:sz w:val="12"/>
        </w:rPr>
      </w:pPr>
      <w:r>
        <w:rPr>
          <w:rFonts w:ascii="Montserrat;sans-serif" w:hAnsi="Montserrat;sans-serif"/>
          <w:color w:val="000000"/>
          <w:sz w:val="12"/>
        </w:rPr>
        <w:t>Compensation Discussion and Analysis</w:t>
      </w:r>
    </w:p>
    <w:p>
      <w:pPr>
        <w:pStyle w:val="TextBody"/>
        <w:bidi w:val="0"/>
        <w:jc w:val="right"/>
        <w:rPr/>
      </w:pPr>
      <w:r>
        <w:rPr/>
        <w:t> </w:t>
      </w:r>
    </w:p>
    <w:p>
      <w:pPr>
        <w:pStyle w:val="TextBody"/>
        <w:bidi w:val="0"/>
        <w:jc w:val="right"/>
        <w:rPr/>
      </w:pPr>
      <w:r>
        <w:rPr/>
        <w:t> </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Impact of Accounting and Tax Requirements on Compensation</w:t>
      </w:r>
    </w:p>
    <w:p>
      <w:pPr>
        <w:pStyle w:val="TextBody"/>
        <w:bidi w:val="0"/>
        <w:spacing w:before="360" w:after="283"/>
        <w:jc w:val="left"/>
        <w:rPr>
          <w:rFonts w:ascii="Montserrat;Montserrat Medium;sans-serif" w:hAnsi="Montserrat;Montserrat Medium;sans-serif"/>
          <w:b/>
          <w:color w:val="7855FA"/>
          <w:sz w:val="20"/>
        </w:rPr>
      </w:pPr>
      <w:r>
        <w:rPr>
          <w:rFonts w:ascii="Montserrat;Montserrat Medium;sans-serif" w:hAnsi="Montserrat;Montserrat Medium;sans-serif"/>
          <w:b/>
          <w:color w:val="7855FA"/>
          <w:sz w:val="20"/>
        </w:rPr>
        <w:t>Deductibility of Executive Compensation</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Generally, Section 162(m) of the Internal Revenue Code of 1986, as amended (the “Code”), disallows a corporate federal income tax deduction to any publicly held corporation for any remuneration in excess of $1 million paid in any taxable year to its chief executive officer, chief financial officer, and certain other highly compensated executive officers. As a result, we expect that compensation awarded to each of our NEOs will not be deductible to the extent it is in excess of this $1 million threshold. The Compensation Committee may, in its judgment, authorize compensation payments that are not fully tax deductible when it believes that such payments are appropriate to attract and retain executive talent or meet other business objectives. The Compensation Committee intends to continue to compensate our NEOs in a manner that it believes to be consistent with the best long-term interests of our company and our stockholders.</w:t>
      </w:r>
    </w:p>
    <w:p>
      <w:pPr>
        <w:pStyle w:val="TextBody"/>
        <w:bidi w:val="0"/>
        <w:spacing w:before="360" w:after="283"/>
        <w:jc w:val="left"/>
        <w:rPr>
          <w:rFonts w:ascii="Montserrat;sans-serif" w:hAnsi="Montserrat;sans-serif"/>
          <w:color w:val="7855FA"/>
          <w:sz w:val="20"/>
        </w:rPr>
      </w:pPr>
      <w:r>
        <w:rPr>
          <w:rFonts w:ascii="Montserrat;sans-serif" w:hAnsi="Montserrat;sans-serif"/>
          <w:color w:val="7855FA"/>
          <w:sz w:val="20"/>
        </w:rPr>
        <w:t>Taxation of “Parachute” Payments and Deferred Compensation</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We do not provide our NEOs with a “gross-up” or other reimbursement payment for any tax liability that they might owe as a result of the application of Sections 280G, 4999, or 409A of the Code. Sections 280G and 4999 of the Code provide that certain officers and directors, and service providers who hold significant equity interests, and certain highly compensated service providers may be subject to an excise tax if they receive payments or benefits in connection with a change of control that exceeds certain prescribed limits, and that our company, or a successor, may forfeit a deduction on the amounts subject to this additional tax. However, under our Change of Control and Severance Policy, if any payment or benefits to a policy participant, including the payments and benefits under the policy, would constitute a “parachute payment” within the meaning of Section 280G of the Code and would therefore be subject to an excise tax under Section 4999 of the Code, then such payments and benefits will be either (i) reduced to the largest portion of the payments and benefits that would result in no portion of the payments and benefits being subject to the excise tax, or (ii) not reduced, whichever, after taking into account all applicable federal, state, and local employment and income taxes and the excise tax, results in the participant’s receipt, on an after-tax basis, of the greater payments and benefits.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Section 409A also imposes additional significant taxes on the individual in the event that an executive officer, director, or other service provider receives “deferred compensation” that does not meet certain requirements of Section 409A of the Code.</w:t>
      </w:r>
    </w:p>
    <w:p>
      <w:pPr>
        <w:pStyle w:val="TextBody"/>
        <w:bidi w:val="0"/>
        <w:spacing w:before="360" w:after="283"/>
        <w:jc w:val="left"/>
        <w:rPr>
          <w:rFonts w:ascii="Montserrat;sans-serif" w:hAnsi="Montserrat;sans-serif"/>
          <w:color w:val="7855FA"/>
          <w:sz w:val="20"/>
        </w:rPr>
      </w:pPr>
      <w:r>
        <w:rPr>
          <w:rFonts w:ascii="Montserrat;sans-serif" w:hAnsi="Montserrat;sans-serif"/>
          <w:color w:val="7855FA"/>
          <w:sz w:val="20"/>
        </w:rPr>
        <w:t>Accounting for Stock-Based Compensation</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We follow ASC Topic 718 for our stock-based awards. ASC Topic 718 requires companies to measure the compensation expense for all share-based payment awards made to employees and directors, including stock options, RSU awards, and PRSU awards, based on the grant date “fair value” of these awards. This calculation is performed for accounting purposes and reported in the compensation tables below. ASC Topic 718 also requires companies to recognize the compensation cost of their stock-based compensation awards in their income statements over the period that a NEO is required to render service in exchange for the award.</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Compensation Risk Assessment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Compensation Committee reviews and discusses with management the risks arising from our compensation philosophy and practices applicable to all employees to determine whether they encourage excessive risk-taking and to evaluate compensation policies and practices that could mitigate such risks. In addition, the Compensation Committee has engaged Compensia to independently review our executive compensation program. Based on these reviews, the Compensation Committee structures our executive compensation program to encourage our NEOs to focus on both short-term and long-term success. We do not believe that our compensation programs create risks that are reasonably likely to have a material adverse effect on us.</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2641"/>
        <w:gridCol w:w="331"/>
      </w:tblGrid>
      <w:tr>
        <w:trPr/>
        <w:tc>
          <w:tcPr>
            <w:tcW w:w="26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204"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95" descr=""/>
                          <pic:cNvPicPr>
                            <a:picLocks noChangeAspect="1" noChangeArrowheads="1"/>
                          </pic:cNvPicPr>
                        </pic:nvPicPr>
                        <pic:blipFill>
                          <a:blip r:embed="rId197"/>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3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57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rFonts w:ascii="Montserrat;sans-serif" w:hAnsi="Montserrat;sans-serif"/>
          <w:color w:val="000000"/>
          <w:sz w:val="13"/>
        </w:rPr>
      </w:pPr>
      <w:r>
        <w:rPr>
          <w:rFonts w:ascii="Montserrat;sans-serif" w:hAnsi="Montserrat;sans-serif"/>
          <w:color w:val="000000"/>
          <w:sz w:val="13"/>
        </w:rPr>
        <w:t>Executive Compensation</w:t>
      </w:r>
    </w:p>
    <w:p>
      <w:pPr>
        <w:pStyle w:val="TextBody"/>
        <w:bidi w:val="0"/>
        <w:spacing w:before="60" w:after="283"/>
        <w:jc w:val="left"/>
        <w:rPr>
          <w:rFonts w:ascii="Montserrat;sans-serif" w:hAnsi="Montserrat;sans-serif"/>
          <w:color w:val="000000"/>
          <w:sz w:val="12"/>
        </w:rPr>
      </w:pPr>
      <w:r>
        <w:rPr>
          <w:rFonts w:ascii="Montserrat;sans-serif" w:hAnsi="Montserrat;sans-serif"/>
          <w:color w:val="000000"/>
          <w:sz w:val="12"/>
        </w:rPr>
        <w:t>Report of the Compensation Committee</w:t>
      </w:r>
    </w:p>
    <w:p>
      <w:pPr>
        <w:pStyle w:val="TextBody"/>
        <w:bidi w:val="0"/>
        <w:jc w:val="left"/>
        <w:rPr/>
      </w:pPr>
      <w:r>
        <w:rPr/>
        <w:t> </w:t>
      </w:r>
    </w:p>
    <w:p>
      <w:pPr>
        <w:pStyle w:val="TextBody"/>
        <w:bidi w:val="0"/>
        <w:jc w:val="left"/>
        <w:rPr/>
      </w:pPr>
      <w:r>
        <w:rPr/>
        <w:t> </w:t>
      </w:r>
    </w:p>
    <w:p>
      <w:pPr>
        <w:pStyle w:val="Heading2"/>
        <w:bidi w:val="0"/>
        <w:jc w:val="left"/>
        <w:rPr>
          <w:rFonts w:ascii="Montserrat;sans-serif" w:hAnsi="Montserrat;sans-serif"/>
          <w:color w:val="7855FA"/>
          <w:sz w:val="28"/>
        </w:rPr>
      </w:pPr>
      <w:bookmarkStart w:id="20" w:name="report_of_the_compensation_committee"/>
      <w:bookmarkEnd w:id="20"/>
      <w:r>
        <w:rPr>
          <w:rFonts w:ascii="Montserrat;sans-serif" w:hAnsi="Montserrat;sans-serif"/>
          <w:color w:val="7855FA"/>
          <w:sz w:val="28"/>
        </w:rPr>
        <w:t>Report of the Compensation Committee</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Compensation Committee has reviewed and discussed the Compensation Discussion and Analysis with management. Based on such review and discussions, the Compensation Committee has recommended to our Board that the Compensation Discussion and Analysis be included in this proxy statement.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Respectfully submitted by the members of the Compensation Committee:</w:t>
      </w:r>
    </w:p>
    <w:p>
      <w:pPr>
        <w:pStyle w:val="TextBody"/>
        <w:bidi w:val="0"/>
        <w:spacing w:before="360" w:after="283"/>
        <w:jc w:val="left"/>
        <w:rPr>
          <w:rFonts w:ascii="Montserrat;Montserrat Medium;sans-serif" w:hAnsi="Montserrat;Montserrat Medium;sans-serif"/>
          <w:b/>
          <w:color w:val="7855FA"/>
          <w:sz w:val="20"/>
        </w:rPr>
      </w:pPr>
      <w:r>
        <w:rPr>
          <w:rFonts w:ascii="Montserrat;Montserrat Medium;sans-serif" w:hAnsi="Montserrat;Montserrat Medium;sans-serif"/>
          <w:b/>
          <w:color w:val="7855FA"/>
          <w:sz w:val="20"/>
        </w:rPr>
        <w:t>The Compensation Committee</w:t>
      </w:r>
    </w:p>
    <w:p>
      <w:pPr>
        <w:pStyle w:val="TextBody"/>
        <w:bidi w:val="0"/>
        <w:jc w:val="both"/>
        <w:rPr>
          <w:rFonts w:ascii="Montserrat;sans-serif" w:hAnsi="Montserrat;sans-serif"/>
          <w:color w:val="000000"/>
          <w:sz w:val="18"/>
        </w:rPr>
      </w:pPr>
      <w:r>
        <w:rPr>
          <w:rFonts w:ascii="Montserrat;sans-serif" w:hAnsi="Montserrat;sans-serif"/>
          <w:color w:val="000000"/>
          <w:sz w:val="18"/>
        </w:rPr>
        <w:t>Mark Templeton (Chair)</w:t>
      </w:r>
    </w:p>
    <w:p>
      <w:pPr>
        <w:pStyle w:val="TextBody"/>
        <w:bidi w:val="0"/>
        <w:jc w:val="both"/>
        <w:rPr>
          <w:rFonts w:ascii="Montserrat;sans-serif" w:hAnsi="Montserrat;sans-serif"/>
          <w:color w:val="000000"/>
          <w:sz w:val="18"/>
        </w:rPr>
      </w:pPr>
      <w:r>
        <w:rPr>
          <w:rFonts w:ascii="Montserrat;sans-serif" w:hAnsi="Montserrat;sans-serif"/>
          <w:color w:val="000000"/>
          <w:sz w:val="18"/>
        </w:rPr>
        <w:t>Craig Conway</w:t>
      </w:r>
    </w:p>
    <w:p>
      <w:pPr>
        <w:pStyle w:val="TextBody"/>
        <w:bidi w:val="0"/>
        <w:jc w:val="both"/>
        <w:rPr>
          <w:rFonts w:ascii="Montserrat;sans-serif" w:hAnsi="Montserrat;sans-serif"/>
          <w:color w:val="000000"/>
          <w:sz w:val="18"/>
        </w:rPr>
      </w:pPr>
      <w:r>
        <w:rPr>
          <w:rFonts w:ascii="Montserrat;sans-serif" w:hAnsi="Montserrat;sans-serif"/>
          <w:color w:val="000000"/>
          <w:sz w:val="18"/>
        </w:rPr>
        <w:t>Max de Groen</w:t>
      </w:r>
    </w:p>
    <w:p>
      <w:pPr>
        <w:pStyle w:val="Heading2"/>
        <w:bidi w:val="0"/>
        <w:spacing w:before="360" w:after="283"/>
        <w:jc w:val="left"/>
        <w:rPr>
          <w:rFonts w:ascii="Montserrat;sans-serif" w:hAnsi="Montserrat;sans-serif"/>
          <w:color w:val="7855FA"/>
          <w:sz w:val="28"/>
        </w:rPr>
      </w:pPr>
      <w:bookmarkStart w:id="21" w:name="executive_compensation_tables"/>
      <w:bookmarkEnd w:id="21"/>
      <w:r>
        <w:rPr>
          <w:rFonts w:ascii="Montserrat;sans-serif" w:hAnsi="Montserrat;sans-serif"/>
          <w:color w:val="7855FA"/>
          <w:sz w:val="28"/>
        </w:rPr>
        <w:t>Executive Compensation Tables</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Fiscal Year 2026 Summary Compensation Table</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following table presents all of the compensation awarded to, or earned by, our NEOs during the fiscal years ended July 31, 2026, 2025 and 2024.</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100"/>
        <w:gridCol w:w="526"/>
        <w:gridCol w:w="146"/>
        <w:gridCol w:w="146"/>
        <w:gridCol w:w="691"/>
        <w:gridCol w:w="146"/>
        <w:gridCol w:w="146"/>
        <w:gridCol w:w="164"/>
        <w:gridCol w:w="392"/>
        <w:gridCol w:w="146"/>
        <w:gridCol w:w="146"/>
        <w:gridCol w:w="191"/>
        <w:gridCol w:w="455"/>
        <w:gridCol w:w="146"/>
        <w:gridCol w:w="146"/>
        <w:gridCol w:w="146"/>
        <w:gridCol w:w="916"/>
        <w:gridCol w:w="146"/>
        <w:gridCol w:w="146"/>
        <w:gridCol w:w="173"/>
        <w:gridCol w:w="983"/>
        <w:gridCol w:w="146"/>
        <w:gridCol w:w="146"/>
        <w:gridCol w:w="259"/>
        <w:gridCol w:w="911"/>
        <w:gridCol w:w="146"/>
        <w:gridCol w:w="146"/>
        <w:gridCol w:w="146"/>
        <w:gridCol w:w="916"/>
        <w:gridCol w:w="192"/>
      </w:tblGrid>
      <w:tr>
        <w:trPr/>
        <w:tc>
          <w:tcPr>
            <w:tcW w:w="110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1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00"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7855FA"/>
                <w:sz w:val="14"/>
              </w:rPr>
            </w:pPr>
            <w:r>
              <w:rPr>
                <w:rFonts w:ascii="Montserrat;sans-serif" w:hAnsi="Montserrat;sans-serif"/>
                <w:b/>
                <w:color w:val="7855FA"/>
                <w:sz w:val="14"/>
              </w:rPr>
              <w:t>Name and Principal</w:t>
              <w:br/>
              <w:t>Position</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7855FA"/>
                <w:sz w:val="14"/>
              </w:rPr>
            </w:pPr>
            <w:r>
              <w:rPr>
                <w:rFonts w:ascii="Montserrat;sans-serif" w:hAnsi="Montserrat;sans-serif"/>
                <w:b/>
                <w:color w:val="7855FA"/>
                <w:sz w:val="14"/>
              </w:rPr>
              <w:t>Fiscal</w:t>
              <w:b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4"/>
              </w:rPr>
            </w:pPr>
            <w:r>
              <w:rPr>
                <w:rFonts w:ascii="Montserrat;sans-serif" w:hAnsi="Montserrat;sans-serif"/>
                <w:b/>
                <w:color w:val="7855FA"/>
                <w:sz w:val="14"/>
              </w:rPr>
              <w:t>Salary</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4"/>
              </w:rPr>
            </w:pPr>
            <w:r>
              <w:rPr>
                <w:rFonts w:ascii="Montserrat;sans-serif" w:hAnsi="Montserrat;sans-serif"/>
                <w:b/>
                <w:color w:val="7855FA"/>
                <w:sz w:val="14"/>
              </w:rPr>
              <w:t>Bonus</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4"/>
              </w:rPr>
            </w:pPr>
            <w:r>
              <w:rPr>
                <w:rFonts w:ascii="Montserrat;sans-serif" w:hAnsi="Montserrat;sans-serif"/>
                <w:b/>
                <w:color w:val="7855FA"/>
                <w:sz w:val="14"/>
              </w:rPr>
              <w:t>Option</w:t>
              <w:br/>
              <w:t>Awards</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360" w:before="0" w:after="283"/>
              <w:jc w:val="right"/>
              <w:rPr>
                <w:rFonts w:ascii="Montserrat;sans-serif" w:hAnsi="Montserrat;sans-serif"/>
                <w:sz w:val="14"/>
              </w:rPr>
            </w:pPr>
            <w:r>
              <w:rPr>
                <w:rFonts w:ascii="Montserrat;sans-serif" w:hAnsi="Montserrat;sans-serif"/>
                <w:b/>
                <w:color w:val="7855FA"/>
                <w:sz w:val="14"/>
              </w:rPr>
              <w:t>Stock</w:t>
              <w:br/>
              <w:t>Awards</w:t>
              <w:br/>
              <w:t>($)</w:t>
            </w:r>
            <w:r>
              <w:rPr>
                <w:rFonts w:ascii="Montserrat;sans-serif" w:hAnsi="Montserrat;sans-serif"/>
                <w:b/>
                <w:color w:val="7855FA"/>
                <w:sz w:val="9"/>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360" w:before="0" w:after="283"/>
              <w:jc w:val="right"/>
              <w:rPr>
                <w:rFonts w:ascii="Montserrat;sans-serif" w:hAnsi="Montserrat;sans-serif"/>
                <w:sz w:val="14"/>
              </w:rPr>
            </w:pPr>
            <w:r>
              <w:rPr>
                <w:rFonts w:ascii="Montserrat;sans-serif" w:hAnsi="Montserrat;sans-serif"/>
                <w:b/>
                <w:color w:val="7855FA"/>
                <w:sz w:val="14"/>
              </w:rPr>
              <w:t>Non-Equity</w:t>
              <w:br/>
              <w:t>Incentive Plan</w:t>
              <w:br/>
              <w:t>Compensation</w:t>
              <w:br/>
              <w:t>($)</w:t>
            </w:r>
            <w:r>
              <w:rPr>
                <w:rFonts w:ascii="Montserrat;sans-serif" w:hAnsi="Montserrat;sans-serif"/>
                <w:b/>
                <w:color w:val="7855FA"/>
                <w:sz w:val="9"/>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360" w:before="0" w:after="283"/>
              <w:jc w:val="right"/>
              <w:rPr>
                <w:rFonts w:ascii="Montserrat;sans-serif" w:hAnsi="Montserrat;sans-serif"/>
                <w:sz w:val="14"/>
              </w:rPr>
            </w:pPr>
            <w:r>
              <w:rPr>
                <w:rFonts w:ascii="Montserrat;sans-serif" w:hAnsi="Montserrat;sans-serif"/>
                <w:b/>
                <w:color w:val="7855FA"/>
                <w:sz w:val="14"/>
              </w:rPr>
              <w:t>All Other</w:t>
              <w:br/>
              <w:t>Compensation ($)</w:t>
            </w:r>
            <w:r>
              <w:rPr>
                <w:rFonts w:ascii="Montserrat;sans-serif" w:hAnsi="Montserrat;sans-serif"/>
                <w:b/>
                <w:color w:val="7855FA"/>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4"/>
              </w:rPr>
            </w:pPr>
            <w:r>
              <w:rPr>
                <w:rFonts w:ascii="Montserrat;sans-serif" w:hAnsi="Montserrat;sans-serif"/>
                <w:b/>
                <w:color w:val="7855FA"/>
                <w:sz w:val="14"/>
              </w:rPr>
              <w:t>Total</w:t>
              <w:b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00"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556"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00"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Montserrat Medium;sans-serif" w:hAnsi="Montserrat;Montserrat Medium;sans-serif"/>
                <w:b/>
                <w:color w:val="000000"/>
                <w:sz w:val="14"/>
              </w:rPr>
            </w:pPr>
            <w:r>
              <w:rPr>
                <w:rFonts w:ascii="Montserrat;Montserrat Medium;sans-serif" w:hAnsi="Montserrat;Montserrat Medium;sans-serif"/>
                <w:b/>
                <w:color w:val="000000"/>
                <w:sz w:val="14"/>
              </w:rPr>
              <w:t>Rajiv Ramaswami</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color w:val="000000"/>
                <w:sz w:val="14"/>
              </w:rPr>
            </w:pPr>
            <w:r>
              <w:rPr>
                <w:rFonts w:ascii="Montserrat;sans-serif" w:hAnsi="Montserrat;sans-serif"/>
                <w:color w:val="000000"/>
                <w:sz w:val="14"/>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800,000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27,883,613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797,600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4,000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29,485,213</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00"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Montserrat Medium;sans-serif" w:hAnsi="Montserrat;Montserrat Medium;sans-serif"/>
                <w:b/>
                <w:color w:val="000000"/>
                <w:sz w:val="14"/>
              </w:rPr>
            </w:pPr>
            <w:r>
              <w:rPr>
                <w:rFonts w:ascii="Montserrat;Montserrat Medium;sans-serif" w:hAnsi="Montserrat;Montserrat Medium;sans-serif"/>
                <w:b/>
                <w:color w:val="000000"/>
                <w:sz w:val="14"/>
              </w:rPr>
              <w:t>CEO</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color w:val="000000"/>
                <w:sz w:val="14"/>
              </w:rPr>
            </w:pPr>
            <w:r>
              <w:rPr>
                <w:rFonts w:ascii="Montserrat;sans-serif" w:hAnsi="Montserrat;sans-serif"/>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800,000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20,750,885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1,015,200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3,000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22,569,085</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00"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color w:val="000000"/>
                <w:sz w:val="14"/>
              </w:rPr>
            </w:pPr>
            <w:r>
              <w:rPr>
                <w:rFonts w:ascii="Montserrat;sans-serif" w:hAnsi="Montserrat;sans-serif"/>
                <w:color w:val="000000"/>
                <w:sz w:val="14"/>
              </w:rPr>
              <w:t>2024</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800,008</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49,781,703</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560,000</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2,000</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51,143,711</w:t>
            </w:r>
          </w:p>
        </w:tc>
        <w:tc>
          <w:tcPr>
            <w:tcW w:w="192"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00"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Montserrat Medium;sans-serif" w:hAnsi="Montserrat;Montserrat Medium;sans-serif"/>
                <w:b/>
                <w:color w:val="000000"/>
                <w:sz w:val="14"/>
              </w:rPr>
            </w:pPr>
            <w:r>
              <w:rPr>
                <w:rFonts w:ascii="Montserrat;Montserrat Medium;sans-serif" w:hAnsi="Montserrat;Montserrat Medium;sans-serif"/>
                <w:b/>
                <w:color w:val="000000"/>
                <w:sz w:val="14"/>
              </w:rPr>
              <w:t>Rukmini Sivaraman</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color w:val="000000"/>
                <w:sz w:val="14"/>
              </w:rPr>
            </w:pPr>
            <w:r>
              <w:rPr>
                <w:rFonts w:ascii="Montserrat;sans-serif" w:hAnsi="Montserrat;sans-serif"/>
                <w:color w:val="000000"/>
                <w:sz w:val="14"/>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520,000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10,724,345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518,440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4,000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11,766,785</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00"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Montserrat Medium;sans-serif" w:hAnsi="Montserrat;Montserrat Medium;sans-serif"/>
                <w:b/>
                <w:color w:val="000000"/>
                <w:sz w:val="14"/>
              </w:rPr>
            </w:pPr>
            <w:r>
              <w:rPr>
                <w:rFonts w:ascii="Montserrat;Montserrat Medium;sans-serif" w:hAnsi="Montserrat;Montserrat Medium;sans-serif"/>
                <w:b/>
                <w:color w:val="000000"/>
                <w:sz w:val="14"/>
              </w:rPr>
              <w:t>Chief Financial Officer</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color w:val="000000"/>
                <w:sz w:val="14"/>
              </w:rPr>
            </w:pPr>
            <w:r>
              <w:rPr>
                <w:rFonts w:ascii="Montserrat;sans-serif" w:hAnsi="Montserrat;sans-serif"/>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518,615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7,262,718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659,880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3,000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8,444,213</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00"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color w:val="000000"/>
                <w:sz w:val="14"/>
              </w:rPr>
            </w:pPr>
            <w:r>
              <w:rPr>
                <w:rFonts w:ascii="Montserrat;sans-serif" w:hAnsi="Montserrat;sans-serif"/>
                <w:color w:val="000000"/>
                <w:sz w:val="14"/>
              </w:rPr>
              <w:t>2024</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474,431</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5,939,485</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249,375</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2,000</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6,665,291</w:t>
            </w:r>
          </w:p>
        </w:tc>
        <w:tc>
          <w:tcPr>
            <w:tcW w:w="192"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00"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Montserrat Medium;sans-serif" w:hAnsi="Montserrat Medium;sans-serif"/>
                <w:sz w:val="14"/>
              </w:rPr>
            </w:pPr>
            <w:r>
              <w:rPr>
                <w:rFonts w:ascii="Montserrat;Montserrat Medium;sans-serif" w:hAnsi="Montserrat;Montserrat Medium;sans-serif"/>
                <w:b/>
                <w:color w:val="000000"/>
                <w:sz w:val="14"/>
              </w:rPr>
              <w:t>Brian Martin</w:t>
            </w:r>
            <w:r>
              <w:rPr>
                <w:rFonts w:ascii="Montserrat;Montserrat Medium;sans-serif" w:hAnsi="Montserrat;Montserrat Medium;sans-serif"/>
                <w:b/>
                <w:color w:val="000000"/>
                <w:sz w:val="9"/>
              </w:rPr>
              <w:t>(4)</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color w:val="000000"/>
                <w:sz w:val="14"/>
              </w:rPr>
            </w:pPr>
            <w:r>
              <w:rPr>
                <w:rFonts w:ascii="Montserrat;sans-serif" w:hAnsi="Montserrat;sans-serif"/>
                <w:color w:val="000000"/>
                <w:sz w:val="14"/>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475,000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6,005,665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355,181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4,000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6,839,846</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00"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Montserrat Medium;sans-serif" w:hAnsi="Montserrat;Montserrat Medium;sans-serif"/>
                <w:b/>
                <w:color w:val="000000"/>
                <w:sz w:val="14"/>
              </w:rPr>
            </w:pPr>
            <w:r>
              <w:rPr>
                <w:rFonts w:ascii="Montserrat;Montserrat Medium;sans-serif" w:hAnsi="Montserrat;Montserrat Medium;sans-serif"/>
                <w:b/>
                <w:color w:val="000000"/>
                <w:sz w:val="14"/>
              </w:rPr>
              <w:t>Chief Legal Officer</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color w:val="000000"/>
                <w:sz w:val="14"/>
              </w:rPr>
            </w:pPr>
            <w:r>
              <w:rPr>
                <w:rFonts w:ascii="Montserrat;sans-serif" w:hAnsi="Montserrat;sans-serif"/>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475,000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4,184,206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452,081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3,000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5,114,287</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00"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color w:val="000000"/>
                <w:sz w:val="14"/>
              </w:rPr>
            </w:pPr>
            <w:r>
              <w:rPr>
                <w:rFonts w:ascii="Montserrat;sans-serif" w:hAnsi="Montserrat;sans-serif"/>
                <w:color w:val="000000"/>
                <w:sz w:val="14"/>
              </w:rPr>
              <w:t>2024</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54,808</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2,676,685</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28,774</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2,760,267</w:t>
            </w:r>
          </w:p>
        </w:tc>
        <w:tc>
          <w:tcPr>
            <w:tcW w:w="192"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00"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Montserrat Medium;sans-serif" w:hAnsi="Montserrat Medium;sans-serif"/>
                <w:sz w:val="14"/>
              </w:rPr>
            </w:pPr>
            <w:r>
              <w:rPr>
                <w:rFonts w:ascii="Montserrat;Montserrat Medium;sans-serif" w:hAnsi="Montserrat;Montserrat Medium;sans-serif"/>
                <w:b/>
                <w:color w:val="000000"/>
                <w:sz w:val="14"/>
              </w:rPr>
              <w:t>Tarkan Maner</w:t>
            </w:r>
            <w:r>
              <w:rPr>
                <w:rFonts w:ascii="Montserrat;Montserrat Medium;sans-serif" w:hAnsi="Montserrat;Montserrat Medium;sans-serif"/>
                <w:b/>
                <w:color w:val="000000"/>
                <w:sz w:val="9"/>
              </w:rPr>
              <w:t>(5)</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4"/>
              </w:rPr>
            </w:pPr>
            <w:r>
              <w:rPr>
                <w:rFonts w:ascii="Montserrat;sans-serif" w:hAnsi="Montserrat;sans-serif"/>
                <w:color w:val="000000"/>
                <w:sz w:val="14"/>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450,000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6,005,665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336,488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6,796,153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00"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rFonts w:ascii="Montserrat;Montserrat Medium;sans-serif" w:hAnsi="Montserrat;Montserrat Medium;sans-serif"/>
                <w:b/>
                <w:color w:val="000000"/>
                <w:sz w:val="14"/>
              </w:rPr>
            </w:pPr>
            <w:r>
              <w:rPr>
                <w:rFonts w:ascii="Montserrat;Montserrat Medium;sans-serif" w:hAnsi="Montserrat;Montserrat Medium;sans-serif"/>
                <w:b/>
                <w:color w:val="000000"/>
                <w:sz w:val="14"/>
              </w:rPr>
              <w:t>Former President and Chief Commercial Officer</w:t>
            </w:r>
          </w:p>
        </w:tc>
        <w:tc>
          <w:tcPr>
            <w:tcW w:w="52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Montserrat;sans-serif" w:hAnsi="Montserrat;sans-serif"/>
          <w:color w:val="000000"/>
          <w:sz w:val="16"/>
        </w:rPr>
      </w:pPr>
      <w:r>
        <w:rPr>
          <w:rFonts w:ascii="Montserrat;sans-serif" w:hAnsi="Montserrat;sans-serif"/>
          <w:color w:val="000000"/>
          <w:sz w:val="16"/>
        </w:rPr>
        <w:t>(1)</w:t>
      </w:r>
    </w:p>
    <w:p>
      <w:pPr>
        <w:pStyle w:val="TextBody"/>
        <w:bidi w:val="0"/>
        <w:spacing w:before="0" w:after="0"/>
        <w:jc w:val="both"/>
        <w:rPr>
          <w:rFonts w:ascii="Montserrat;sans-serif" w:hAnsi="Montserrat;sans-serif"/>
          <w:color w:val="000000"/>
          <w:sz w:val="16"/>
        </w:rPr>
      </w:pPr>
      <w:r>
        <w:rPr>
          <w:rFonts w:ascii="Montserrat;sans-serif" w:hAnsi="Montserrat;sans-serif"/>
          <w:color w:val="000000"/>
          <w:sz w:val="16"/>
        </w:rPr>
        <w:t>The amounts reported in this column represent the aggregate grant date fair value of equity awards, as computed in accordance with ASC Topic 718. These amounts do not necessarily reflect the actual economic value that may ultimately be realized by the NEOs. The grant date fair value for time-based RSUs and PRSUs tied to operational/financial goals reported in the table is calculated in accordance with ASC Topic 718 based on the closing price per share of our Class A common stock as reported on The Nasdaq Global Select Market on the date of grant. The grant date fair value for PRSUs tied to market conditions in the table is calculated in accordance with ASC Topic 718 using a Monte Carlo simulation model. A Monte Carlo simulation model requires the use of various assumptions, including the stock price volatility and risk-free interest rate as of the valuation date corresponding to the length of time remaining in the performance period and expected dividend yield.</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(2)</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The amounts reported in this column represent the amounts earned under our Executive Incentive Compensation Plan.</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(3)</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The amounts in this column include company contributions on behalf of the NEO to defined contribution retirement plans.</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(4)</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Mr. Martin was appointed Chief Legal Officer in June 2024.</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(5)</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Mr. Maner served as President and Chief Commercial Officer during fiscal year 2026 and stepped down from that position following the end of fiscal year 2026. In connection with his transition from that role, we entered into a Transition Advisory Services Agreement with Mr. Maner. See “Executive Compensation—Employment Arrangements” for additional information regarding this arrangement.</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301"/>
        <w:gridCol w:w="2671"/>
      </w:tblGrid>
      <w:tr>
        <w:trPr/>
        <w:tc>
          <w:tcPr>
            <w:tcW w:w="30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58</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205"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96" descr=""/>
                          <pic:cNvPicPr>
                            <a:picLocks noChangeAspect="1" noChangeArrowheads="1"/>
                          </pic:cNvPicPr>
                        </pic:nvPicPr>
                        <pic:blipFill>
                          <a:blip r:embed="rId198"/>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rFonts w:ascii="Montserrat;sans-serif" w:hAnsi="Montserrat;sans-serif"/>
          <w:color w:val="000000"/>
          <w:sz w:val="13"/>
        </w:rPr>
      </w:pPr>
      <w:r>
        <w:rPr>
          <w:rFonts w:ascii="Montserrat;sans-serif" w:hAnsi="Montserrat;sans-serif"/>
          <w:color w:val="000000"/>
          <w:sz w:val="13"/>
        </w:rPr>
        <w:t>Executive Compensation</w:t>
      </w:r>
    </w:p>
    <w:p>
      <w:pPr>
        <w:pStyle w:val="TextBody"/>
        <w:bidi w:val="0"/>
        <w:spacing w:before="60" w:after="283"/>
        <w:jc w:val="right"/>
        <w:rPr>
          <w:rFonts w:ascii="Montserrat;sans-serif" w:hAnsi="Montserrat;sans-serif"/>
          <w:color w:val="000000"/>
          <w:sz w:val="12"/>
        </w:rPr>
      </w:pPr>
      <w:r>
        <w:rPr>
          <w:rFonts w:ascii="Montserrat;sans-serif" w:hAnsi="Montserrat;sans-serif"/>
          <w:color w:val="000000"/>
          <w:sz w:val="12"/>
        </w:rPr>
        <w:t>Executive Compensation Tables</w:t>
      </w:r>
    </w:p>
    <w:p>
      <w:pPr>
        <w:pStyle w:val="TextBody"/>
        <w:bidi w:val="0"/>
        <w:jc w:val="right"/>
        <w:rPr/>
      </w:pPr>
      <w:r>
        <w:rPr/>
        <w:t> </w:t>
      </w:r>
    </w:p>
    <w:p>
      <w:pPr>
        <w:pStyle w:val="TextBody"/>
        <w:bidi w:val="0"/>
        <w:jc w:val="right"/>
        <w:rPr/>
      </w:pPr>
      <w:r>
        <w:rPr/>
        <w:t> </w:t>
      </w:r>
    </w:p>
    <w:p>
      <w:pPr>
        <w:pStyle w:val="TextBody"/>
        <w:bidi w:val="0"/>
        <w:jc w:val="left"/>
        <w:rPr>
          <w:rFonts w:ascii="Montserrat;sans-serif" w:hAnsi="Montserrat;sans-serif"/>
          <w:b/>
          <w:color w:val="000000"/>
          <w:sz w:val="22"/>
        </w:rPr>
      </w:pPr>
      <w:r>
        <w:rPr>
          <w:rFonts w:ascii="Montserrat;sans-serif" w:hAnsi="Montserrat;sans-serif"/>
          <w:b/>
          <w:color w:val="000000"/>
          <w:sz w:val="22"/>
        </w:rPr>
        <w:t>Grants of Plan-Based Awards</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The following table presents, for each of our NEOs, information concerning plan-based awards granted during the fiscal year ended July 31, 2026. This information supplements the information about these awards set forth in the “</w:t>
      </w:r>
      <w:r>
        <w:rPr>
          <w:rFonts w:ascii="Montserrat;sans-serif" w:hAnsi="Montserrat;sans-serif"/>
          <w:color w:val="7855FA"/>
          <w:sz w:val="18"/>
        </w:rPr>
        <w:t>Fiscal Year 2026 Summary Compensation Table</w:t>
      </w:r>
      <w:r>
        <w:rPr>
          <w:rFonts w:ascii="Montserrat;sans-serif" w:hAnsi="Montserrat;sans-serif"/>
          <w:color w:val="000000"/>
          <w:sz w:val="18"/>
        </w:rPr>
        <w:t>” above.</w:t>
      </w:r>
    </w:p>
    <w:p>
      <w:pPr>
        <w:pStyle w:val="TextBody"/>
        <w:bidi w:val="0"/>
        <w:jc w:val="both"/>
        <w:rPr/>
      </w:pPr>
      <w:r>
        <w:rPr/>
        <w:t> </w:t>
      </w:r>
    </w:p>
    <w:tbl>
      <w:tblPr>
        <w:tblW w:w="11279" w:type="dxa"/>
        <w:jc w:val="left"/>
        <w:tblInd w:w="0" w:type="dxa"/>
        <w:tblLayout w:type="fixed"/>
        <w:tblCellMar>
          <w:top w:w="28" w:type="dxa"/>
          <w:left w:w="28" w:type="dxa"/>
          <w:bottom w:w="28" w:type="dxa"/>
          <w:right w:w="28" w:type="dxa"/>
        </w:tblCellMar>
      </w:tblPr>
      <w:tblGrid>
        <w:gridCol w:w="901"/>
        <w:gridCol w:w="811"/>
        <w:gridCol w:w="181"/>
        <w:gridCol w:w="147"/>
        <w:gridCol w:w="349"/>
        <w:gridCol w:w="146"/>
        <w:gridCol w:w="146"/>
        <w:gridCol w:w="258"/>
        <w:gridCol w:w="523"/>
        <w:gridCol w:w="146"/>
        <w:gridCol w:w="146"/>
        <w:gridCol w:w="146"/>
        <w:gridCol w:w="601"/>
        <w:gridCol w:w="146"/>
        <w:gridCol w:w="146"/>
        <w:gridCol w:w="146"/>
        <w:gridCol w:w="721"/>
        <w:gridCol w:w="146"/>
        <w:gridCol w:w="146"/>
        <w:gridCol w:w="230"/>
        <w:gridCol w:w="551"/>
        <w:gridCol w:w="146"/>
        <w:gridCol w:w="146"/>
        <w:gridCol w:w="146"/>
        <w:gridCol w:w="601"/>
        <w:gridCol w:w="146"/>
        <w:gridCol w:w="146"/>
        <w:gridCol w:w="150"/>
        <w:gridCol w:w="601"/>
        <w:gridCol w:w="146"/>
        <w:gridCol w:w="146"/>
        <w:gridCol w:w="146"/>
        <w:gridCol w:w="601"/>
        <w:gridCol w:w="146"/>
        <w:gridCol w:w="146"/>
        <w:gridCol w:w="146"/>
        <w:gridCol w:w="796"/>
        <w:gridCol w:w="191"/>
      </w:tblGrid>
      <w:tr>
        <w:trPr/>
        <w:tc>
          <w:tcPr>
            <w:tcW w:w="90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9" w:type="dxa"/>
            <w:gridSpan w:val="10"/>
            <w:tcBorders>
              <w:bottom w:val="single" w:sz="4" w:space="0" w:color="7855FA"/>
            </w:tcBorders>
            <w:shd w:fill="FFFFFF" w:val="clear"/>
            <w:tcMar>
              <w:top w:w="0" w:type="dxa"/>
              <w:left w:w="0" w:type="dxa"/>
              <w:right w:w="0" w:type="dxa"/>
            </w:tcMar>
            <w:vAlign w:val="center"/>
          </w:tcPr>
          <w:p>
            <w:pPr>
              <w:pStyle w:val="TableContents"/>
              <w:bidi w:val="0"/>
              <w:spacing w:lineRule="auto" w:line="360" w:before="0" w:after="283"/>
              <w:jc w:val="center"/>
              <w:rPr>
                <w:rFonts w:ascii="Montserrat;sans-serif" w:hAnsi="Montserrat;sans-serif"/>
                <w:sz w:val="12"/>
              </w:rPr>
            </w:pPr>
            <w:r>
              <w:rPr>
                <w:rFonts w:ascii="Montserrat;sans-serif" w:hAnsi="Montserrat;sans-serif"/>
                <w:b/>
                <w:color w:val="7855FA"/>
                <w:sz w:val="12"/>
              </w:rPr>
              <w:t>Estimated Future Payouts Under Non-Equity Incentive Plan Awards</w:t>
            </w:r>
            <w:r>
              <w:rPr>
                <w:rFonts w:ascii="Montserrat;sans-serif" w:hAnsi="Montserrat;sans-serif"/>
                <w:b/>
                <w:color w:val="7855FA"/>
                <w:sz w:val="8"/>
              </w:rPr>
              <w:t>(1)</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3" w:type="dxa"/>
            <w:gridSpan w:val="10"/>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7855FA"/>
                <w:sz w:val="12"/>
              </w:rPr>
            </w:pPr>
            <w:r>
              <w:rPr>
                <w:rFonts w:ascii="Montserrat;sans-serif" w:hAnsi="Montserrat;sans-serif"/>
                <w:b/>
                <w:color w:val="7855FA"/>
                <w:sz w:val="12"/>
              </w:rPr>
              <w:t>Estimated Future Payouts Under Equity Incentive Plan Awards</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2"/>
              </w:rPr>
            </w:pPr>
            <w:r>
              <w:rPr>
                <w:rFonts w:ascii="Montserrat;sans-serif" w:hAnsi="Montserrat;sans-serif"/>
                <w:b/>
                <w:color w:val="7855FA"/>
                <w:sz w:val="12"/>
              </w:rPr>
              <w:t>All Other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2"/>
              </w:rPr>
            </w:pPr>
            <w:r>
              <w:rPr>
                <w:rFonts w:ascii="Montserrat;sans-serif" w:hAnsi="Montserrat;sans-serif"/>
                <w:b/>
                <w:color w:val="7855FA"/>
                <w:sz w:val="12"/>
              </w:rPr>
              <w:t>Grant Date Fair Value of</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7855FA"/>
                <w:sz w:val="12"/>
              </w:rPr>
            </w:pPr>
            <w:r>
              <w:rPr>
                <w:rFonts w:ascii="Montserrat;sans-serif" w:hAnsi="Montserrat;sans-serif"/>
                <w:b/>
                <w:color w:val="7855FA"/>
                <w:sz w:val="12"/>
              </w:rPr>
              <w:t>Name</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2"/>
              </w:rPr>
            </w:pPr>
            <w:r>
              <w:rPr>
                <w:rFonts w:ascii="Montserrat;sans-serif" w:hAnsi="Montserrat;sans-serif"/>
                <w:b/>
                <w:color w:val="7855FA"/>
                <w:sz w:val="12"/>
              </w:rPr>
              <w:t>Award Type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2"/>
              </w:rPr>
            </w:pPr>
            <w:r>
              <w:rPr>
                <w:rFonts w:ascii="Montserrat;sans-serif" w:hAnsi="Montserrat;sans-serif"/>
                <w:b/>
                <w:color w:val="7855FA"/>
                <w:sz w:val="12"/>
              </w:rPr>
              <w:t>Grant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2"/>
              </w:rPr>
            </w:pPr>
            <w:r>
              <w:rPr>
                <w:rFonts w:ascii="Montserrat;sans-serif" w:hAnsi="Montserrat;sans-serif"/>
                <w:b/>
                <w:color w:val="7855FA"/>
                <w:sz w:val="12"/>
              </w:rPr>
              <w:t>Threshold</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2"/>
              </w:rPr>
            </w:pPr>
            <w:r>
              <w:rPr>
                <w:rFonts w:ascii="Montserrat;sans-serif" w:hAnsi="Montserrat;sans-serif"/>
                <w:b/>
                <w:color w:val="7855FA"/>
                <w:sz w:val="12"/>
              </w:rPr>
              <w:t>Target</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2"/>
              </w:rPr>
            </w:pPr>
            <w:r>
              <w:rPr>
                <w:rFonts w:ascii="Montserrat;sans-serif" w:hAnsi="Montserrat;sans-serif"/>
                <w:b/>
                <w:color w:val="7855FA"/>
                <w:sz w:val="12"/>
              </w:rPr>
              <w:t>Maximum</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2"/>
              </w:rPr>
            </w:pPr>
            <w:r>
              <w:rPr>
                <w:rFonts w:ascii="Montserrat;sans-serif" w:hAnsi="Montserrat;sans-serif"/>
                <w:b/>
                <w:color w:val="7855FA"/>
                <w:sz w:val="12"/>
              </w:rPr>
              <w:t>Threshold</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2"/>
              </w:rPr>
            </w:pPr>
            <w:r>
              <w:rPr>
                <w:rFonts w:ascii="Montserrat;sans-serif" w:hAnsi="Montserrat;sans-serif"/>
                <w:b/>
                <w:color w:val="7855FA"/>
                <w:sz w:val="12"/>
              </w:rPr>
              <w:t>Target</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2"/>
              </w:rPr>
            </w:pPr>
            <w:r>
              <w:rPr>
                <w:rFonts w:ascii="Montserrat;sans-serif" w:hAnsi="Montserrat;sans-serif"/>
                <w:b/>
                <w:color w:val="7855FA"/>
                <w:sz w:val="12"/>
              </w:rPr>
              <w:t>Maximum</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2"/>
              </w:rPr>
            </w:pPr>
            <w:r>
              <w:rPr>
                <w:rFonts w:ascii="Montserrat;sans-serif" w:hAnsi="Montserrat;sans-serif"/>
                <w:b/>
                <w:color w:val="7855FA"/>
                <w:sz w:val="12"/>
              </w:rPr>
              <w:t>Number of Shares of Stock or Units</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360" w:before="0" w:after="283"/>
              <w:jc w:val="right"/>
              <w:rPr>
                <w:rFonts w:ascii="Montserrat;sans-serif" w:hAnsi="Montserrat;sans-serif"/>
                <w:sz w:val="12"/>
              </w:rPr>
            </w:pPr>
            <w:r>
              <w:rPr>
                <w:rFonts w:ascii="Montserrat;sans-serif" w:hAnsi="Montserrat;sans-serif"/>
                <w:b/>
                <w:color w:val="7855FA"/>
                <w:sz w:val="12"/>
              </w:rPr>
              <w:t>Stock and Option Awards</w:t>
            </w:r>
            <w:r>
              <w:rPr>
                <w:rFonts w:ascii="Montserrat;sans-serif" w:hAnsi="Montserrat;sans-serif"/>
                <w:b/>
                <w:color w:val="7855FA"/>
                <w:sz w:val="8"/>
              </w:rPr>
              <w:t>(4)</w:t>
            </w:r>
            <w:r>
              <w:rPr>
                <w:rFonts w:ascii="Montserrat;sans-serif" w:hAnsi="Montserrat;sans-serif"/>
                <w:b/>
                <w:color w:val="7855FA"/>
                <w:sz w:val="12"/>
              </w:rPr>
              <w:b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0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496"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942"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Montserrat Medium;sans-serif" w:hAnsi="Montserrat;Montserrat Medium;sans-serif"/>
                <w:b/>
                <w:color w:val="000000"/>
                <w:sz w:val="12"/>
              </w:rPr>
            </w:pPr>
            <w:r>
              <w:rPr>
                <w:rFonts w:ascii="Montserrat;Montserrat Medium;sans-serif" w:hAnsi="Montserrat;Montserrat Medium;sans-serif"/>
                <w:b/>
                <w:color w:val="000000"/>
                <w:sz w:val="12"/>
              </w:rPr>
              <w:t>Rajiv Ramaswami</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Cash incentive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800,000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1,600,000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Time-based RSUs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Montserrat;sans-serif" w:hAnsi="Montserrat;sans-serif"/>
                <w:color w:val="000000"/>
                <w:sz w:val="8"/>
              </w:rPr>
            </w:pPr>
            <w:r>
              <w:rPr>
                <w:rFonts w:ascii="Montserrat;sans-serif" w:hAnsi="Montserrat;sans-serif"/>
                <w:color w:val="000000"/>
                <w:sz w:val="8"/>
              </w:rPr>
              <w:t>(2)</w:t>
            </w:r>
          </w:p>
        </w:tc>
        <w:tc>
          <w:tcPr>
            <w:tcW w:w="4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11/10/2025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141,283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10,228,889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0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PRSUs</w:t>
            </w:r>
          </w:p>
        </w:tc>
        <w:tc>
          <w:tcPr>
            <w:tcW w:w="181" w:type="dxa"/>
            <w:tcBorders>
              <w:bottom w:val="single" w:sz="4" w:space="0" w:color="7855FA"/>
            </w:tcBorders>
            <w:shd w:fill="FFFFFF" w:val="clear"/>
            <w:tcMar>
              <w:top w:w="0" w:type="dxa"/>
              <w:left w:w="0" w:type="dxa"/>
              <w:right w:w="0" w:type="dxa"/>
            </w:tcMar>
            <w:vAlign w:val="center"/>
          </w:tcPr>
          <w:p>
            <w:pPr>
              <w:pStyle w:val="TableContents"/>
              <w:bidi w:val="0"/>
              <w:spacing w:lineRule="auto" w:line="360" w:before="0" w:after="283"/>
              <w:jc w:val="left"/>
              <w:rPr>
                <w:rFonts w:ascii="Montserrat;sans-serif" w:hAnsi="Montserrat;sans-serif"/>
                <w:color w:val="000000"/>
                <w:sz w:val="8"/>
              </w:rPr>
            </w:pPr>
            <w:r>
              <w:rPr>
                <w:rFonts w:ascii="Montserrat;sans-serif" w:hAnsi="Montserrat;sans-serif"/>
                <w:color w:val="000000"/>
                <w:sz w:val="8"/>
              </w:rPr>
              <w:t>(3)</w:t>
            </w:r>
          </w:p>
        </w:tc>
        <w:tc>
          <w:tcPr>
            <w:tcW w:w="496"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11/10/2025</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70,642</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141,283</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282,566</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17,654,724</w:t>
            </w:r>
          </w:p>
        </w:tc>
        <w:tc>
          <w:tcPr>
            <w:tcW w:w="19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Montserrat Medium;sans-serif" w:hAnsi="Montserrat;Montserrat Medium;sans-serif"/>
                <w:b/>
                <w:color w:val="000000"/>
                <w:sz w:val="12"/>
              </w:rPr>
            </w:pPr>
            <w:r>
              <w:rPr>
                <w:rFonts w:ascii="Montserrat;Montserrat Medium;sans-serif" w:hAnsi="Montserrat;Montserrat Medium;sans-serif"/>
                <w:b/>
                <w:color w:val="000000"/>
                <w:sz w:val="12"/>
              </w:rPr>
              <w:t>Rukmini Sivaraman</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Cash incentive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520,000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1,040,000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Time-based RSUs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Montserrat;sans-serif" w:hAnsi="Montserrat;sans-serif"/>
                <w:color w:val="000000"/>
                <w:sz w:val="8"/>
              </w:rPr>
            </w:pPr>
            <w:r>
              <w:rPr>
                <w:rFonts w:ascii="Montserrat;sans-serif" w:hAnsi="Montserrat;sans-serif"/>
                <w:color w:val="000000"/>
                <w:sz w:val="8"/>
              </w:rPr>
              <w:t>(2)</w:t>
            </w:r>
          </w:p>
        </w:tc>
        <w:tc>
          <w:tcPr>
            <w:tcW w:w="4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11/10/2025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54,339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3,934,144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0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PRSUs</w:t>
            </w:r>
          </w:p>
        </w:tc>
        <w:tc>
          <w:tcPr>
            <w:tcW w:w="181" w:type="dxa"/>
            <w:tcBorders>
              <w:bottom w:val="single" w:sz="4" w:space="0" w:color="7855FA"/>
            </w:tcBorders>
            <w:shd w:fill="FFFFFF" w:val="clear"/>
            <w:tcMar>
              <w:top w:w="0" w:type="dxa"/>
              <w:left w:w="0" w:type="dxa"/>
              <w:right w:w="0" w:type="dxa"/>
            </w:tcMar>
            <w:vAlign w:val="center"/>
          </w:tcPr>
          <w:p>
            <w:pPr>
              <w:pStyle w:val="TableContents"/>
              <w:bidi w:val="0"/>
              <w:spacing w:lineRule="auto" w:line="360" w:before="0" w:after="283"/>
              <w:jc w:val="left"/>
              <w:rPr>
                <w:rFonts w:ascii="Montserrat;sans-serif" w:hAnsi="Montserrat;sans-serif"/>
                <w:color w:val="000000"/>
                <w:sz w:val="8"/>
              </w:rPr>
            </w:pPr>
            <w:r>
              <w:rPr>
                <w:rFonts w:ascii="Montserrat;sans-serif" w:hAnsi="Montserrat;sans-serif"/>
                <w:color w:val="000000"/>
                <w:sz w:val="8"/>
              </w:rPr>
              <w:t>(3)</w:t>
            </w:r>
          </w:p>
        </w:tc>
        <w:tc>
          <w:tcPr>
            <w:tcW w:w="496"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11/10/2025</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27,170</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54,339</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108,678</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6,790,201</w:t>
            </w:r>
          </w:p>
        </w:tc>
        <w:tc>
          <w:tcPr>
            <w:tcW w:w="19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Montserrat Medium;sans-serif" w:hAnsi="Montserrat;Montserrat Medium;sans-serif"/>
                <w:b/>
                <w:color w:val="000000"/>
                <w:sz w:val="12"/>
              </w:rPr>
            </w:pPr>
            <w:r>
              <w:rPr>
                <w:rFonts w:ascii="Montserrat;Montserrat Medium;sans-serif" w:hAnsi="Montserrat;Montserrat Medium;sans-serif"/>
                <w:b/>
                <w:color w:val="000000"/>
                <w:sz w:val="12"/>
              </w:rPr>
              <w:t>Brian Martin</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Cash incentive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356,250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712,500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Time-based RSUs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Montserrat;sans-serif" w:hAnsi="Montserrat;sans-serif"/>
                <w:color w:val="000000"/>
                <w:sz w:val="8"/>
              </w:rPr>
            </w:pPr>
            <w:r>
              <w:rPr>
                <w:rFonts w:ascii="Montserrat;sans-serif" w:hAnsi="Montserrat;sans-serif"/>
                <w:color w:val="000000"/>
                <w:sz w:val="8"/>
              </w:rPr>
              <w:t>(2)</w:t>
            </w:r>
          </w:p>
        </w:tc>
        <w:tc>
          <w:tcPr>
            <w:tcW w:w="4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11/10/2025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30,430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2,203,132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0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PRSUs</w:t>
            </w:r>
          </w:p>
        </w:tc>
        <w:tc>
          <w:tcPr>
            <w:tcW w:w="181" w:type="dxa"/>
            <w:tcBorders>
              <w:bottom w:val="single" w:sz="4" w:space="0" w:color="7855FA"/>
            </w:tcBorders>
            <w:shd w:fill="FFFFFF" w:val="clear"/>
            <w:tcMar>
              <w:top w:w="0" w:type="dxa"/>
              <w:left w:w="0" w:type="dxa"/>
              <w:right w:w="0" w:type="dxa"/>
            </w:tcMar>
            <w:vAlign w:val="center"/>
          </w:tcPr>
          <w:p>
            <w:pPr>
              <w:pStyle w:val="TableContents"/>
              <w:bidi w:val="0"/>
              <w:spacing w:lineRule="auto" w:line="360" w:before="0" w:after="283"/>
              <w:jc w:val="left"/>
              <w:rPr>
                <w:rFonts w:ascii="Montserrat;sans-serif" w:hAnsi="Montserrat;sans-serif"/>
                <w:color w:val="000000"/>
                <w:sz w:val="8"/>
              </w:rPr>
            </w:pPr>
            <w:r>
              <w:rPr>
                <w:rFonts w:ascii="Montserrat;sans-serif" w:hAnsi="Montserrat;sans-serif"/>
                <w:color w:val="000000"/>
                <w:sz w:val="8"/>
              </w:rPr>
              <w:t>(3)</w:t>
            </w:r>
          </w:p>
        </w:tc>
        <w:tc>
          <w:tcPr>
            <w:tcW w:w="496"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11/10/2025</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15,215</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30,430</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60,860</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3,802,533</w:t>
            </w:r>
          </w:p>
        </w:tc>
        <w:tc>
          <w:tcPr>
            <w:tcW w:w="19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Montserrat Medium;sans-serif" w:hAnsi="Montserrat;Montserrat Medium;sans-serif"/>
                <w:b/>
                <w:color w:val="000000"/>
                <w:sz w:val="12"/>
              </w:rPr>
            </w:pPr>
            <w:r>
              <w:rPr>
                <w:rFonts w:ascii="Montserrat;Montserrat Medium;sans-serif" w:hAnsi="Montserrat;Montserrat Medium;sans-serif"/>
                <w:b/>
                <w:color w:val="000000"/>
                <w:sz w:val="12"/>
              </w:rPr>
              <w:t>Tarkan Maner</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Cash incentive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337,500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675,000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Time-based RSUs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Montserrat;sans-serif" w:hAnsi="Montserrat;sans-serif"/>
                <w:color w:val="000000"/>
                <w:sz w:val="8"/>
              </w:rPr>
            </w:pPr>
            <w:r>
              <w:rPr>
                <w:rFonts w:ascii="Montserrat;sans-serif" w:hAnsi="Montserrat;sans-serif"/>
                <w:color w:val="000000"/>
                <w:sz w:val="8"/>
              </w:rPr>
              <w:t>(2)</w:t>
            </w:r>
          </w:p>
        </w:tc>
        <w:tc>
          <w:tcPr>
            <w:tcW w:w="4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11/10/2025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30,430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2,203,132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0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PRSUs</w:t>
            </w:r>
          </w:p>
        </w:tc>
        <w:tc>
          <w:tcPr>
            <w:tcW w:w="181" w:type="dxa"/>
            <w:tcBorders>
              <w:bottom w:val="single" w:sz="4" w:space="0" w:color="7855FA"/>
            </w:tcBorders>
            <w:shd w:fill="FFFFFF" w:val="clear"/>
            <w:tcMar>
              <w:top w:w="0" w:type="dxa"/>
              <w:left w:w="0" w:type="dxa"/>
              <w:right w:w="0" w:type="dxa"/>
            </w:tcMar>
            <w:vAlign w:val="center"/>
          </w:tcPr>
          <w:p>
            <w:pPr>
              <w:pStyle w:val="TableContents"/>
              <w:bidi w:val="0"/>
              <w:spacing w:lineRule="auto" w:line="360" w:before="0" w:after="283"/>
              <w:jc w:val="left"/>
              <w:rPr>
                <w:rFonts w:ascii="Montserrat;sans-serif" w:hAnsi="Montserrat;sans-serif"/>
                <w:color w:val="000000"/>
                <w:sz w:val="8"/>
              </w:rPr>
            </w:pPr>
            <w:r>
              <w:rPr>
                <w:rFonts w:ascii="Montserrat;sans-serif" w:hAnsi="Montserrat;sans-serif"/>
                <w:color w:val="000000"/>
                <w:sz w:val="8"/>
              </w:rPr>
              <w:t>(3)</w:t>
            </w:r>
          </w:p>
        </w:tc>
        <w:tc>
          <w:tcPr>
            <w:tcW w:w="496"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11/10/2025</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15,215</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30,430</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60,860</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3,802,533</w:t>
            </w:r>
          </w:p>
        </w:tc>
        <w:tc>
          <w:tcPr>
            <w:tcW w:w="19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Montserrat;sans-serif" w:hAnsi="Montserrat;sans-serif"/>
          <w:color w:val="000000"/>
          <w:sz w:val="16"/>
        </w:rPr>
      </w:pPr>
      <w:r>
        <w:rPr>
          <w:rFonts w:ascii="Montserrat;sans-serif" w:hAnsi="Montserrat;sans-serif"/>
          <w:color w:val="000000"/>
          <w:sz w:val="16"/>
        </w:rPr>
        <w:t>(1)</w:t>
      </w:r>
    </w:p>
    <w:p>
      <w:pPr>
        <w:pStyle w:val="TextBody"/>
        <w:bidi w:val="0"/>
        <w:spacing w:before="0" w:after="0"/>
        <w:jc w:val="both"/>
        <w:rPr>
          <w:rFonts w:ascii="Montserrat;sans-serif" w:hAnsi="Montserrat;sans-serif"/>
          <w:color w:val="000000"/>
          <w:sz w:val="16"/>
        </w:rPr>
      </w:pPr>
      <w:r>
        <w:rPr>
          <w:rFonts w:ascii="Montserrat;sans-serif" w:hAnsi="Montserrat;sans-serif"/>
          <w:color w:val="000000"/>
          <w:sz w:val="16"/>
        </w:rPr>
        <w:t>The amounts reported in this column represent cash incentive compensation opportunities under the fiscal year 2026 Executive Incentive Compensation Plan at target levels for our corporate objectives. For achievement in excess of target, overperformance could be rewarded with a payout of up to an additional 100% of each NEO’s target (for a maximum payment of 200% of each NEO’s target).</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(2)</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The RSUs vest in 16 equal quarterly installments, with the first quarterly installment having vested on December 15, 2025, subject to continued service through each vesting date.</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(3)</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The PRSUs are eligible to vest in up to three installments based on the TSR of our company relative to the TSR of companies in the Nasdaq Composite Index over three performance periods: (i) August 1, 2025 to July 31, 2026, (ii) August 1, 2025 to July 31, 2027, and (iii) August 1, 2025 to July 31, 2028. PRSUs that become eligible to vest based on performance vest on September 15 following the applicable performance period, subject to continued service through the vesting date. The achievement percentage for each performance period ranges from 0% to 200% of target, except that the achievement percentage is capped at 100% for the first two performance periods. Up to one-third of the target number of PRSUs are eligible to vest based on performance for each of the first two performance periods. The achievement percentage is (i) 0% if our TSR ranks below the 25th percentile of the indexed companies, (ii) 50% if our TSR ranks at the 25th percentile of the indexed companies, (iii) 100% if our TSR ranks at the 50th percentile of the indexed companies, and (iv) 200% if our TSR ranks at the 75th percentile of the indexed companies. If our TSR ranks between these percentile thresholds, the achievement percentage is determined using linear interpolation. 100% of the target number of PRSUs (as may be increased as a result of any achievement percentage in excess of target) will be eligible to vest with respect to the third performance period, less any PRSUs already vested in the first two interim performance periods.</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(4)</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The amounts reported in this column represent the aggregate grant date fair value of equity awards, as computed in accordance with ASC Topic 718. These amounts do not necessarily reflect the actual economic value that may ultimately be realized by the NEOs. The grant date fair value for time-based RSUs reported in the table is calculated in accordance with ASC Topic 718 based on the closing price per share of our Class A common stock as reported on The Nasdaq Global Select Market on the date of grant. The grant date fair value for PRSUs tied to market conditions in the table is calculated in accordance with ASC Topic 718 using a Monte Carlo simulation model. A Monte Carlo simulation model requires the use of various assumptions, including the stock price volatility and risk-free interest rate as of the valuation date corresponding to the length of time remaining in the performance period and expected dividend yield.</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2641"/>
        <w:gridCol w:w="331"/>
      </w:tblGrid>
      <w:tr>
        <w:trPr/>
        <w:tc>
          <w:tcPr>
            <w:tcW w:w="26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206"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97" descr=""/>
                          <pic:cNvPicPr>
                            <a:picLocks noChangeAspect="1" noChangeArrowheads="1"/>
                          </pic:cNvPicPr>
                        </pic:nvPicPr>
                        <pic:blipFill>
                          <a:blip r:embed="rId199"/>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3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59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rFonts w:ascii="Montserrat;sans-serif" w:hAnsi="Montserrat;sans-serif"/>
          <w:color w:val="000000"/>
          <w:sz w:val="13"/>
        </w:rPr>
      </w:pPr>
      <w:r>
        <w:rPr>
          <w:rFonts w:ascii="Montserrat;sans-serif" w:hAnsi="Montserrat;sans-serif"/>
          <w:color w:val="000000"/>
          <w:sz w:val="13"/>
        </w:rPr>
        <w:t>Executive Compensation</w:t>
      </w:r>
    </w:p>
    <w:p>
      <w:pPr>
        <w:pStyle w:val="TextBody"/>
        <w:bidi w:val="0"/>
        <w:spacing w:before="60" w:after="283"/>
        <w:jc w:val="left"/>
        <w:rPr>
          <w:rFonts w:ascii="Montserrat;sans-serif" w:hAnsi="Montserrat;sans-serif"/>
          <w:color w:val="000000"/>
          <w:sz w:val="12"/>
        </w:rPr>
      </w:pPr>
      <w:r>
        <w:rPr>
          <w:rFonts w:ascii="Montserrat;sans-serif" w:hAnsi="Montserrat;sans-serif"/>
          <w:color w:val="000000"/>
          <w:sz w:val="12"/>
        </w:rPr>
        <w:t>Executive Compensation Tables</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Outstanding Equity Awards At Fiscal Year 2026 Year-End Table</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The following table presents, for each of our NEOs, information concerning each outstanding equity award held by such NEO as of July 31, 2026. This information supplements the information about these awards set forth in the “</w:t>
      </w:r>
      <w:r>
        <w:rPr>
          <w:rFonts w:ascii="Montserrat;sans-serif" w:hAnsi="Montserrat;sans-serif"/>
          <w:color w:val="7855FA"/>
          <w:sz w:val="18"/>
        </w:rPr>
        <w:t>Fiscal Year 2026 Summary Compensation Table</w:t>
      </w:r>
      <w:r>
        <w:rPr>
          <w:rFonts w:ascii="Montserrat;sans-serif" w:hAnsi="Montserrat;sans-serif"/>
          <w:color w:val="000000"/>
          <w:sz w:val="18"/>
        </w:rPr>
        <w:t>” above.</w:t>
      </w:r>
    </w:p>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931"/>
        <w:gridCol w:w="555"/>
        <w:gridCol w:w="249"/>
        <w:gridCol w:w="592"/>
        <w:gridCol w:w="146"/>
        <w:gridCol w:w="280"/>
        <w:gridCol w:w="666"/>
        <w:gridCol w:w="146"/>
        <w:gridCol w:w="178"/>
        <w:gridCol w:w="423"/>
        <w:gridCol w:w="146"/>
        <w:gridCol w:w="209"/>
        <w:gridCol w:w="497"/>
        <w:gridCol w:w="146"/>
        <w:gridCol w:w="146"/>
        <w:gridCol w:w="149"/>
        <w:gridCol w:w="617"/>
        <w:gridCol w:w="146"/>
        <w:gridCol w:w="227"/>
        <w:gridCol w:w="166"/>
        <w:gridCol w:w="820"/>
        <w:gridCol w:w="146"/>
        <w:gridCol w:w="182"/>
        <w:gridCol w:w="751"/>
        <w:gridCol w:w="146"/>
        <w:gridCol w:w="182"/>
        <w:gridCol w:w="180"/>
        <w:gridCol w:w="985"/>
        <w:gridCol w:w="198"/>
      </w:tblGrid>
      <w:tr>
        <w:trPr/>
        <w:tc>
          <w:tcPr>
            <w:tcW w:w="93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32"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7855FA"/>
                <w:sz w:val="12"/>
              </w:rPr>
            </w:pPr>
            <w:r>
              <w:rPr>
                <w:rFonts w:ascii="Montserrat;sans-serif" w:hAnsi="Montserrat;sans-serif"/>
                <w:b/>
                <w:color w:val="7855FA"/>
                <w:sz w:val="12"/>
              </w:rPr>
              <w:t>Option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97"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7855FA"/>
                <w:sz w:val="12"/>
              </w:rPr>
            </w:pPr>
            <w:r>
              <w:rPr>
                <w:rFonts w:ascii="Montserrat;sans-serif" w:hAnsi="Montserrat;sans-serif"/>
                <w:b/>
                <w:color w:val="7855FA"/>
                <w:sz w:val="12"/>
              </w:rPr>
              <w:t>Stock Awards</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32" w:type="dxa"/>
            <w:gridSpan w:val="11"/>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97" w:type="dxa"/>
            <w:gridSpan w:val="13"/>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7855FA"/>
                <w:sz w:val="11"/>
              </w:rPr>
            </w:pPr>
            <w:r>
              <w:rPr>
                <w:rFonts w:ascii="Montserrat;sans-serif" w:hAnsi="Montserrat;sans-serif"/>
                <w:b/>
                <w:color w:val="7855FA"/>
                <w:sz w:val="11"/>
              </w:rPr>
              <w:t>Name</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1"/>
              </w:rPr>
            </w:pPr>
            <w:r>
              <w:rPr>
                <w:rFonts w:ascii="Montserrat;sans-serif" w:hAnsi="Montserrat;sans-serif"/>
                <w:b/>
                <w:color w:val="7855FA"/>
                <w:sz w:val="11"/>
              </w:rPr>
              <w:t>Grant</w:t>
              <w:br/>
              <w:t>Date</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1"/>
              </w:rPr>
            </w:pPr>
            <w:r>
              <w:rPr>
                <w:rFonts w:ascii="Montserrat;sans-serif" w:hAnsi="Montserrat;sans-serif"/>
                <w:b/>
                <w:color w:val="7855FA"/>
                <w:sz w:val="11"/>
              </w:rPr>
              <w:t>Number of</w:t>
              <w:br/>
              <w:t>Securities</w:t>
              <w:br/>
              <w:t>Underlying</w:t>
              <w:br/>
              <w:t>Unexercised</w:t>
              <w:br/>
              <w:t>Options</w:t>
              <w:br/>
              <w:t>Exercisable</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1"/>
              </w:rPr>
            </w:pPr>
            <w:r>
              <w:rPr>
                <w:rFonts w:ascii="Montserrat;sans-serif" w:hAnsi="Montserrat;sans-serif"/>
                <w:b/>
                <w:color w:val="7855FA"/>
                <w:sz w:val="11"/>
              </w:rPr>
              <w:t>Number of</w:t>
              <w:br/>
              <w:t>Securities</w:t>
              <w:br/>
              <w:t>Underlying</w:t>
              <w:br/>
              <w:t>Unexercised</w:t>
              <w:br/>
              <w:t>Options</w:t>
              <w:br/>
              <w:t>Unexercisable</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1"/>
              </w:rPr>
            </w:pPr>
            <w:r>
              <w:rPr>
                <w:rFonts w:ascii="Montserrat;sans-serif" w:hAnsi="Montserrat;sans-serif"/>
                <w:b/>
                <w:color w:val="7855FA"/>
                <w:sz w:val="11"/>
              </w:rPr>
              <w:t>Option</w:t>
              <w:br/>
              <w:t>Exercise</w:t>
              <w:br/>
              <w:t>Price</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1"/>
              </w:rPr>
            </w:pPr>
            <w:r>
              <w:rPr>
                <w:rFonts w:ascii="Montserrat;sans-serif" w:hAnsi="Montserrat;sans-serif"/>
                <w:b/>
                <w:color w:val="7855FA"/>
                <w:sz w:val="11"/>
              </w:rPr>
              <w:t>Option</w:t>
              <w:br/>
              <w:t>Expiration</w:t>
              <w:br/>
              <w:t>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1"/>
              </w:rPr>
            </w:pPr>
            <w:r>
              <w:rPr>
                <w:rFonts w:ascii="Montserrat;sans-serif" w:hAnsi="Montserrat;sans-serif"/>
                <w:b/>
                <w:color w:val="7855FA"/>
                <w:sz w:val="11"/>
              </w:rPr>
              <w:t>Shares or Units</w:t>
              <w:br/>
              <w:t>of Stock That</w:t>
              <w:br/>
              <w:t>Have Not Vested</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360" w:before="0" w:after="283"/>
              <w:jc w:val="right"/>
              <w:rPr>
                <w:rFonts w:ascii="Montserrat;sans-serif" w:hAnsi="Montserrat;sans-serif"/>
                <w:sz w:val="11"/>
              </w:rPr>
            </w:pPr>
            <w:r>
              <w:rPr>
                <w:rFonts w:ascii="Montserrat;sans-serif" w:hAnsi="Montserrat;sans-serif"/>
                <w:b/>
                <w:color w:val="7855FA"/>
                <w:sz w:val="11"/>
              </w:rPr>
              <w:t>Market Value of</w:t>
              <w:br/>
              <w:t>Shares or Units of Stock That Have Not Vested</w:t>
            </w:r>
            <w:r>
              <w:rPr>
                <w:rFonts w:ascii="Montserrat;sans-serif" w:hAnsi="Montserrat;sans-serif"/>
                <w:b/>
                <w:color w:val="7855FA"/>
                <w:sz w:val="7"/>
              </w:rPr>
              <w:t>(1)</w:t>
            </w:r>
            <w:r>
              <w:rPr>
                <w:rFonts w:ascii="Montserrat;sans-serif" w:hAnsi="Montserrat;sans-serif"/>
                <w:b/>
                <w:color w:val="7855FA"/>
                <w:sz w:val="11"/>
              </w:rPr>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1"/>
              </w:rPr>
            </w:pPr>
            <w:r>
              <w:rPr>
                <w:rFonts w:ascii="Montserrat;sans-serif" w:hAnsi="Montserrat;sans-serif"/>
                <w:b/>
                <w:color w:val="7855FA"/>
                <w:sz w:val="11"/>
              </w:rPr>
              <w:t>Equity Incentive</w:t>
              <w:br/>
              <w:t>Plan Awards:</w:t>
              <w:br/>
              <w:t>Unearned Shares, Units or Other Rights That Have Not Yet Vested</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360" w:before="0" w:after="283"/>
              <w:jc w:val="right"/>
              <w:rPr>
                <w:rFonts w:ascii="Montserrat;sans-serif" w:hAnsi="Montserrat;sans-serif"/>
                <w:sz w:val="11"/>
              </w:rPr>
            </w:pPr>
            <w:r>
              <w:rPr>
                <w:rFonts w:ascii="Montserrat;sans-serif" w:hAnsi="Montserrat;sans-serif"/>
                <w:b/>
                <w:color w:val="7855FA"/>
                <w:sz w:val="11"/>
              </w:rPr>
              <w:t>Equity Incentive</w:t>
              <w:br/>
              <w:t>Plan Awards:</w:t>
              <w:br/>
              <w:t>Market Value of Unearned Shares, Units or Other Rights That Have Not Vested</w:t>
            </w:r>
            <w:r>
              <w:rPr>
                <w:rFonts w:ascii="Montserrat;sans-serif" w:hAnsi="Montserrat;sans-serif"/>
                <w:b/>
                <w:color w:val="7855FA"/>
                <w:sz w:val="7"/>
              </w:rPr>
              <w:t>(1)</w:t>
            </w:r>
            <w:r>
              <w:rPr>
                <w:rFonts w:ascii="Montserrat;sans-serif" w:hAnsi="Montserrat;sans-serif"/>
                <w:b/>
                <w:color w:val="7855FA"/>
                <w:sz w:val="11"/>
              </w:rPr>
              <w:b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706"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986"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933"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82"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165"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98"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Montserrat Medium;sans-serif" w:hAnsi="Montserrat;Montserrat Medium;sans-serif"/>
                <w:b/>
                <w:color w:val="000000"/>
                <w:sz w:val="12"/>
              </w:rPr>
            </w:pPr>
            <w:r>
              <w:rPr>
                <w:rFonts w:ascii="Montserrat;Montserrat Medium;sans-serif" w:hAnsi="Montserrat;Montserrat Medium;sans-serif"/>
                <w:b/>
                <w:color w:val="000000"/>
                <w:sz w:val="12"/>
              </w:rPr>
              <w:t>Rajiv Ramaswami</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b/>
                <w:color w:val="000000"/>
                <w:sz w:val="12"/>
              </w:rPr>
            </w:pPr>
            <w:r>
              <w:rPr>
                <w:rFonts w:ascii="Montserrat;sans-serif" w:hAnsi="Montserrat;sans-serif"/>
                <w:b/>
                <w:color w:val="000000"/>
                <w:sz w:val="12"/>
              </w:rPr>
              <w:t>RSUs</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8/25/2022</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17,207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Montserrat;sans-serif" w:hAnsi="Montserrat;sans-serif"/>
                <w:color w:val="000000"/>
                <w:sz w:val="8"/>
              </w:rPr>
            </w:pPr>
            <w:r>
              <w:rPr>
                <w:rFonts w:ascii="Montserrat;sans-serif" w:hAnsi="Montserrat;sans-serif"/>
                <w:color w:val="000000"/>
                <w:sz w:val="8"/>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1,015,385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8/29/2023</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79,423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Montserrat;sans-serif" w:hAnsi="Montserrat;sans-serif"/>
                <w:color w:val="000000"/>
                <w:sz w:val="8"/>
              </w:rPr>
            </w:pPr>
            <w:r>
              <w:rPr>
                <w:rFonts w:ascii="Montserrat;sans-serif" w:hAnsi="Montserrat;sans-serif"/>
                <w:color w:val="000000"/>
                <w:sz w:val="8"/>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4,686,751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9/10/2024</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76,566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Montserrat;sans-serif" w:hAnsi="Montserrat;sans-serif"/>
                <w:color w:val="000000"/>
                <w:sz w:val="8"/>
              </w:rPr>
            </w:pPr>
            <w:r>
              <w:rPr>
                <w:rFonts w:ascii="Montserrat;sans-serif" w:hAnsi="Montserrat;sans-serif"/>
                <w:color w:val="000000"/>
                <w:sz w:val="8"/>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4,518,160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11/10/2025</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114,793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Montserrat;sans-serif" w:hAnsi="Montserrat;sans-serif"/>
                <w:color w:val="000000"/>
                <w:sz w:val="8"/>
              </w:rPr>
            </w:pPr>
            <w:r>
              <w:rPr>
                <w:rFonts w:ascii="Montserrat;sans-serif" w:hAnsi="Montserrat;sans-serif"/>
                <w:color w:val="000000"/>
                <w:sz w:val="8"/>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6,773,935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b/>
                <w:color w:val="000000"/>
                <w:sz w:val="12"/>
              </w:rPr>
            </w:pPr>
            <w:r>
              <w:rPr>
                <w:rFonts w:ascii="Montserrat;sans-serif" w:hAnsi="Montserrat;sans-serif"/>
                <w:b/>
                <w:color w:val="000000"/>
                <w:sz w:val="12"/>
              </w:rPr>
              <w:t>PRSUs</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8/29/2023</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338,868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Montserrat;sans-serif" w:hAnsi="Montserrat;sans-serif"/>
                <w:color w:val="000000"/>
                <w:sz w:val="8"/>
              </w:rPr>
            </w:pPr>
            <w:r>
              <w:rPr>
                <w:rFonts w:ascii="Montserrat;sans-serif" w:hAnsi="Montserrat;sans-serif"/>
                <w:color w:val="000000"/>
                <w:sz w:val="8"/>
              </w:rPr>
              <w:t>(6)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19,996,601</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1/7/2024</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357,597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Montserrat;sans-serif" w:hAnsi="Montserrat;sans-serif"/>
                <w:color w:val="000000"/>
                <w:sz w:val="8"/>
              </w:rPr>
            </w:pPr>
            <w:r>
              <w:rPr>
                <w:rFonts w:ascii="Montserrat;sans-serif" w:hAnsi="Montserrat;sans-serif"/>
                <w:color w:val="000000"/>
                <w:sz w:val="8"/>
              </w:rPr>
              <w:t>(7)</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21,101,799</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1/7/2024</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163,542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Montserrat;sans-serif" w:hAnsi="Montserrat;sans-serif"/>
                <w:color w:val="000000"/>
                <w:sz w:val="8"/>
              </w:rPr>
            </w:pPr>
            <w:r>
              <w:rPr>
                <w:rFonts w:ascii="Montserrat;sans-serif" w:hAnsi="Montserrat;sans-serif"/>
                <w:color w:val="000000"/>
                <w:sz w:val="8"/>
              </w:rPr>
              <w:t>(8)</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9,650,613</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1/7/2024</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163,541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Montserrat;sans-serif" w:hAnsi="Montserrat;sans-serif"/>
                <w:color w:val="000000"/>
                <w:sz w:val="8"/>
              </w:rPr>
            </w:pPr>
            <w:r>
              <w:rPr>
                <w:rFonts w:ascii="Montserrat;sans-serif" w:hAnsi="Montserrat;sans-serif"/>
                <w:color w:val="000000"/>
                <w:sz w:val="8"/>
              </w:rPr>
              <w:t>(9)</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9,650,554</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9/10/2024</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226,860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Montserrat;sans-serif" w:hAnsi="Montserrat;sans-serif"/>
                <w:color w:val="000000"/>
                <w:sz w:val="8"/>
              </w:rPr>
            </w:pPr>
            <w:r>
              <w:rPr>
                <w:rFonts w:ascii="Montserrat;sans-serif" w:hAnsi="Montserrat;sans-serif"/>
                <w:color w:val="000000"/>
                <w:sz w:val="8"/>
              </w:rPr>
              <w:t>(6)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13,387,009</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3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5"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11/10/2025</w:t>
            </w:r>
          </w:p>
        </w:tc>
        <w:tc>
          <w:tcPr>
            <w:tcW w:w="249"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141,283</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7855FA"/>
            </w:tcBorders>
            <w:shd w:fill="FFFFFF" w:val="clear"/>
            <w:tcMar>
              <w:top w:w="0" w:type="dxa"/>
              <w:left w:w="0" w:type="dxa"/>
              <w:right w:w="0" w:type="dxa"/>
            </w:tcMar>
            <w:vAlign w:val="center"/>
          </w:tcPr>
          <w:p>
            <w:pPr>
              <w:pStyle w:val="TableContents"/>
              <w:bidi w:val="0"/>
              <w:spacing w:lineRule="auto" w:line="360" w:before="0" w:after="283"/>
              <w:jc w:val="left"/>
              <w:rPr>
                <w:rFonts w:ascii="Montserrat;sans-serif" w:hAnsi="Montserrat;sans-serif"/>
                <w:color w:val="000000"/>
                <w:sz w:val="8"/>
              </w:rPr>
            </w:pPr>
            <w:r>
              <w:rPr>
                <w:rFonts w:ascii="Montserrat;sans-serif" w:hAnsi="Montserrat;sans-serif"/>
                <w:color w:val="000000"/>
                <w:sz w:val="8"/>
              </w:rPr>
              <w:t>(6)</w:t>
            </w:r>
          </w:p>
        </w:tc>
        <w:tc>
          <w:tcPr>
            <w:tcW w:w="180"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8,337,110</w:t>
            </w:r>
          </w:p>
        </w:tc>
        <w:tc>
          <w:tcPr>
            <w:tcW w:w="198"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Montserrat Medium;sans-serif" w:hAnsi="Montserrat;Montserrat Medium;sans-serif"/>
                <w:b/>
                <w:color w:val="000000"/>
                <w:sz w:val="12"/>
              </w:rPr>
            </w:pPr>
            <w:r>
              <w:rPr>
                <w:rFonts w:ascii="Montserrat;Montserrat Medium;sans-serif" w:hAnsi="Montserrat;Montserrat Medium;sans-serif"/>
                <w:b/>
                <w:color w:val="000000"/>
                <w:sz w:val="12"/>
              </w:rPr>
              <w:t>Rukmini Sivaraman</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b/>
                <w:color w:val="000000"/>
                <w:sz w:val="12"/>
              </w:rPr>
            </w:pPr>
            <w:r>
              <w:rPr>
                <w:rFonts w:ascii="Montserrat;sans-serif" w:hAnsi="Montserrat;sans-serif"/>
                <w:b/>
                <w:color w:val="000000"/>
                <w:sz w:val="12"/>
              </w:rPr>
              <w:t>RSUs</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8/25/2022</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6,250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Montserrat;sans-serif" w:hAnsi="Montserrat;sans-serif"/>
                <w:color w:val="000000"/>
                <w:sz w:val="8"/>
              </w:rPr>
            </w:pPr>
            <w:r>
              <w:rPr>
                <w:rFonts w:ascii="Montserrat;sans-serif" w:hAnsi="Montserrat;sans-serif"/>
                <w:color w:val="000000"/>
                <w:sz w:val="8"/>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368,813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8/29/2023</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23,827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Montserrat;sans-serif" w:hAnsi="Montserrat;sans-serif"/>
                <w:color w:val="000000"/>
                <w:sz w:val="8"/>
              </w:rPr>
            </w:pPr>
            <w:r>
              <w:rPr>
                <w:rFonts w:ascii="Montserrat;sans-serif" w:hAnsi="Montserrat;sans-serif"/>
                <w:color w:val="000000"/>
                <w:sz w:val="8"/>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1,406,031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9/10/2024</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26,798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Montserrat;sans-serif" w:hAnsi="Montserrat;sans-serif"/>
                <w:color w:val="000000"/>
                <w:sz w:val="8"/>
              </w:rPr>
            </w:pPr>
            <w:r>
              <w:rPr>
                <w:rFonts w:ascii="Montserrat;sans-serif" w:hAnsi="Montserrat;sans-serif"/>
                <w:color w:val="000000"/>
                <w:sz w:val="8"/>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1,581,350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11/10/2025</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44,151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Montserrat;sans-serif" w:hAnsi="Montserrat;sans-serif"/>
                <w:color w:val="000000"/>
                <w:sz w:val="8"/>
              </w:rPr>
            </w:pPr>
            <w:r>
              <w:rPr>
                <w:rFonts w:ascii="Montserrat;sans-serif" w:hAnsi="Montserrat;sans-serif"/>
                <w:color w:val="000000"/>
                <w:sz w:val="8"/>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2,605,351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b/>
                <w:color w:val="000000"/>
                <w:sz w:val="12"/>
              </w:rPr>
            </w:pPr>
            <w:r>
              <w:rPr>
                <w:rFonts w:ascii="Montserrat;sans-serif" w:hAnsi="Montserrat;sans-serif"/>
                <w:b/>
                <w:color w:val="000000"/>
                <w:sz w:val="12"/>
              </w:rPr>
              <w:t>PRSUs</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8/29/2023</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101,660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Montserrat;sans-serif" w:hAnsi="Montserrat;sans-serif"/>
                <w:color w:val="000000"/>
                <w:sz w:val="8"/>
              </w:rPr>
            </w:pPr>
            <w:r>
              <w:rPr>
                <w:rFonts w:ascii="Montserrat;sans-serif" w:hAnsi="Montserrat;sans-serif"/>
                <w:color w:val="000000"/>
                <w:sz w:val="8"/>
              </w:rPr>
              <w:t>(6)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5,998,957</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9/10/2024</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79,400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Montserrat;sans-serif" w:hAnsi="Montserrat;sans-serif"/>
                <w:color w:val="000000"/>
                <w:sz w:val="8"/>
              </w:rPr>
            </w:pPr>
            <w:r>
              <w:rPr>
                <w:rFonts w:ascii="Montserrat;sans-serif" w:hAnsi="Montserrat;sans-serif"/>
                <w:color w:val="000000"/>
                <w:sz w:val="8"/>
              </w:rPr>
              <w:t>(6)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4,685,394</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3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5"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11/10/2025</w:t>
            </w:r>
          </w:p>
        </w:tc>
        <w:tc>
          <w:tcPr>
            <w:tcW w:w="249"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54,339</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7855FA"/>
            </w:tcBorders>
            <w:shd w:fill="FFFFFF" w:val="clear"/>
            <w:tcMar>
              <w:top w:w="0" w:type="dxa"/>
              <w:left w:w="0" w:type="dxa"/>
              <w:right w:w="0" w:type="dxa"/>
            </w:tcMar>
            <w:vAlign w:val="center"/>
          </w:tcPr>
          <w:p>
            <w:pPr>
              <w:pStyle w:val="TableContents"/>
              <w:bidi w:val="0"/>
              <w:spacing w:lineRule="auto" w:line="360" w:before="0" w:after="283"/>
              <w:jc w:val="left"/>
              <w:rPr>
                <w:rFonts w:ascii="Montserrat;sans-serif" w:hAnsi="Montserrat;sans-serif"/>
                <w:color w:val="000000"/>
                <w:sz w:val="8"/>
              </w:rPr>
            </w:pPr>
            <w:r>
              <w:rPr>
                <w:rFonts w:ascii="Montserrat;sans-serif" w:hAnsi="Montserrat;sans-serif"/>
                <w:color w:val="000000"/>
                <w:sz w:val="8"/>
              </w:rPr>
              <w:t>(6)</w:t>
            </w:r>
          </w:p>
        </w:tc>
        <w:tc>
          <w:tcPr>
            <w:tcW w:w="180"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3,206,544</w:t>
            </w:r>
          </w:p>
        </w:tc>
        <w:tc>
          <w:tcPr>
            <w:tcW w:w="198"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Montserrat Medium;sans-serif" w:hAnsi="Montserrat;Montserrat Medium;sans-serif"/>
                <w:b/>
                <w:color w:val="000000"/>
                <w:sz w:val="12"/>
              </w:rPr>
            </w:pPr>
            <w:r>
              <w:rPr>
                <w:rFonts w:ascii="Montserrat;Montserrat Medium;sans-serif" w:hAnsi="Montserrat;Montserrat Medium;sans-serif"/>
                <w:b/>
                <w:color w:val="000000"/>
                <w:sz w:val="12"/>
              </w:rPr>
              <w:t>Brian Martin</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b/>
                <w:color w:val="000000"/>
                <w:sz w:val="12"/>
              </w:rPr>
            </w:pPr>
            <w:r>
              <w:rPr>
                <w:rFonts w:ascii="Montserrat;sans-serif" w:hAnsi="Montserrat;sans-serif"/>
                <w:b/>
                <w:color w:val="000000"/>
                <w:sz w:val="12"/>
              </w:rPr>
              <w:t>RSUs</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7/10/2024</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25,425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Montserrat;sans-serif" w:hAnsi="Montserrat;sans-serif"/>
                <w:color w:val="000000"/>
                <w:sz w:val="8"/>
              </w:rPr>
            </w:pPr>
            <w:r>
              <w:rPr>
                <w:rFonts w:ascii="Montserrat;sans-serif" w:hAnsi="Montserrat;sans-serif"/>
                <w:color w:val="000000"/>
                <w:sz w:val="8"/>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1,500,329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11/10/2025</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24,725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Montserrat;sans-serif" w:hAnsi="Montserrat;sans-serif"/>
                <w:color w:val="000000"/>
                <w:sz w:val="8"/>
              </w:rPr>
            </w:pPr>
            <w:r>
              <w:rPr>
                <w:rFonts w:ascii="Montserrat;sans-serif" w:hAnsi="Montserrat;sans-serif"/>
                <w:color w:val="000000"/>
                <w:sz w:val="8"/>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1,459,022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b/>
                <w:color w:val="000000"/>
                <w:sz w:val="12"/>
              </w:rPr>
            </w:pPr>
            <w:r>
              <w:rPr>
                <w:rFonts w:ascii="Montserrat;sans-serif" w:hAnsi="Montserrat;sans-serif"/>
                <w:b/>
                <w:color w:val="000000"/>
                <w:sz w:val="12"/>
              </w:rPr>
              <w:t>PRSUs</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9/10/2024</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75,620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Montserrat;sans-serif" w:hAnsi="Montserrat;sans-serif"/>
                <w:color w:val="000000"/>
                <w:sz w:val="8"/>
              </w:rPr>
            </w:pPr>
            <w:r>
              <w:rPr>
                <w:rFonts w:ascii="Montserrat;sans-serif" w:hAnsi="Montserrat;sans-serif"/>
                <w:color w:val="000000"/>
                <w:sz w:val="8"/>
              </w:rPr>
              <w:t>(6)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4,462,336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3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5"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11/10/2025</w:t>
            </w:r>
          </w:p>
        </w:tc>
        <w:tc>
          <w:tcPr>
            <w:tcW w:w="249"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30,430</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7855FA"/>
            </w:tcBorders>
            <w:shd w:fill="FFFFFF" w:val="clear"/>
            <w:tcMar>
              <w:top w:w="0" w:type="dxa"/>
              <w:left w:w="0" w:type="dxa"/>
              <w:right w:w="0" w:type="dxa"/>
            </w:tcMar>
            <w:vAlign w:val="center"/>
          </w:tcPr>
          <w:p>
            <w:pPr>
              <w:pStyle w:val="TableContents"/>
              <w:bidi w:val="0"/>
              <w:spacing w:lineRule="auto" w:line="360" w:before="0" w:after="283"/>
              <w:jc w:val="left"/>
              <w:rPr>
                <w:rFonts w:ascii="Montserrat;sans-serif" w:hAnsi="Montserrat;sans-serif"/>
                <w:color w:val="000000"/>
                <w:sz w:val="8"/>
              </w:rPr>
            </w:pPr>
            <w:r>
              <w:rPr>
                <w:rFonts w:ascii="Montserrat;sans-serif" w:hAnsi="Montserrat;sans-serif"/>
                <w:color w:val="000000"/>
                <w:sz w:val="8"/>
              </w:rPr>
              <w:t>(6)</w:t>
            </w:r>
          </w:p>
        </w:tc>
        <w:tc>
          <w:tcPr>
            <w:tcW w:w="180"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1,795,674</w:t>
            </w:r>
          </w:p>
        </w:tc>
        <w:tc>
          <w:tcPr>
            <w:tcW w:w="198"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Montserrat Medium;sans-serif" w:hAnsi="Montserrat Medium;sans-serif"/>
                <w:sz w:val="12"/>
              </w:rPr>
            </w:pPr>
            <w:r>
              <w:rPr>
                <w:rFonts w:ascii="Montserrat;Montserrat Medium;sans-serif" w:hAnsi="Montserrat;Montserrat Medium;sans-serif"/>
                <w:b/>
                <w:color w:val="000000"/>
                <w:sz w:val="12"/>
              </w:rPr>
              <w:t>Tarkan Maner</w:t>
            </w:r>
            <w:r>
              <w:rPr>
                <w:rFonts w:ascii="Montserrat Medium;sans-serif" w:hAnsi="Montserrat Medium;sans-serif"/>
                <w:color w:val="000000"/>
                <w:sz w:val="12"/>
              </w:rPr>
              <w:t> </w:t>
            </w:r>
            <w:r>
              <w:rPr>
                <w:rFonts w:ascii="Montserrat;Montserrat Medium;sans-serif" w:hAnsi="Montserrat;Montserrat Medium;sans-serif"/>
                <w:b/>
                <w:color w:val="000000"/>
                <w:sz w:val="8"/>
              </w:rPr>
              <w:t>(11)</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b/>
                <w:color w:val="000000"/>
                <w:sz w:val="12"/>
              </w:rPr>
            </w:pPr>
            <w:r>
              <w:rPr>
                <w:rFonts w:ascii="Montserrat;sans-serif" w:hAnsi="Montserrat;sans-serif"/>
                <w:b/>
                <w:color w:val="000000"/>
                <w:sz w:val="12"/>
              </w:rPr>
              <w:t>RSUs</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8/25/2022</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4,792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Montserrat;sans-serif" w:hAnsi="Montserrat;sans-serif"/>
                <w:color w:val="000000"/>
                <w:sz w:val="8"/>
              </w:rPr>
            </w:pPr>
            <w:r>
              <w:rPr>
                <w:rFonts w:ascii="Montserrat;sans-serif" w:hAnsi="Montserrat;sans-serif"/>
                <w:color w:val="000000"/>
                <w:sz w:val="8"/>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282,776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8/29/2023</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13,237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Montserrat;sans-serif" w:hAnsi="Montserrat;sans-serif"/>
                <w:color w:val="000000"/>
                <w:sz w:val="8"/>
              </w:rPr>
            </w:pPr>
            <w:r>
              <w:rPr>
                <w:rFonts w:ascii="Montserrat;sans-serif" w:hAnsi="Montserrat;sans-serif"/>
                <w:color w:val="000000"/>
                <w:sz w:val="8"/>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781,115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9/10/2024</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15,313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Montserrat;sans-serif" w:hAnsi="Montserrat;sans-serif"/>
                <w:color w:val="000000"/>
                <w:sz w:val="8"/>
              </w:rPr>
            </w:pPr>
            <w:r>
              <w:rPr>
                <w:rFonts w:ascii="Montserrat;sans-serif" w:hAnsi="Montserrat;sans-serif"/>
                <w:color w:val="000000"/>
                <w:sz w:val="8"/>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903,620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11/10/2025</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24,725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Montserrat;sans-serif" w:hAnsi="Montserrat;sans-serif"/>
                <w:color w:val="000000"/>
                <w:sz w:val="8"/>
              </w:rPr>
            </w:pPr>
            <w:r>
              <w:rPr>
                <w:rFonts w:ascii="Montserrat;sans-serif" w:hAnsi="Montserrat;sans-serif"/>
                <w:color w:val="000000"/>
                <w:sz w:val="8"/>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1,459,022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b/>
                <w:color w:val="000000"/>
                <w:sz w:val="12"/>
              </w:rPr>
            </w:pPr>
            <w:r>
              <w:rPr>
                <w:rFonts w:ascii="Montserrat;sans-serif" w:hAnsi="Montserrat;sans-serif"/>
                <w:b/>
                <w:color w:val="000000"/>
                <w:sz w:val="12"/>
              </w:rPr>
              <w:t>PRSUs</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8/29/2023</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56,476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Montserrat;sans-serif" w:hAnsi="Montserrat;sans-serif"/>
                <w:color w:val="000000"/>
                <w:sz w:val="8"/>
              </w:rPr>
            </w:pPr>
            <w:r>
              <w:rPr>
                <w:rFonts w:ascii="Montserrat;sans-serif" w:hAnsi="Montserrat;sans-serif"/>
                <w:color w:val="000000"/>
                <w:sz w:val="8"/>
              </w:rPr>
              <w:t>(6)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3,332,649</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9/10/2024</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45,371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Montserrat;sans-serif" w:hAnsi="Montserrat;sans-serif"/>
                <w:color w:val="000000"/>
                <w:sz w:val="8"/>
              </w:rPr>
            </w:pPr>
            <w:r>
              <w:rPr>
                <w:rFonts w:ascii="Montserrat;sans-serif" w:hAnsi="Montserrat;sans-serif"/>
                <w:color w:val="000000"/>
                <w:sz w:val="8"/>
              </w:rPr>
              <w:t>(6)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2,677,343</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3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5"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11/10/2025</w:t>
            </w:r>
          </w:p>
        </w:tc>
        <w:tc>
          <w:tcPr>
            <w:tcW w:w="249"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30,430</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7855FA"/>
            </w:tcBorders>
            <w:shd w:fill="FFFFFF" w:val="clear"/>
            <w:tcMar>
              <w:top w:w="0" w:type="dxa"/>
              <w:left w:w="0" w:type="dxa"/>
              <w:right w:w="0" w:type="dxa"/>
            </w:tcMar>
            <w:vAlign w:val="center"/>
          </w:tcPr>
          <w:p>
            <w:pPr>
              <w:pStyle w:val="TableContents"/>
              <w:bidi w:val="0"/>
              <w:spacing w:lineRule="auto" w:line="360" w:before="0" w:after="283"/>
              <w:jc w:val="left"/>
              <w:rPr>
                <w:rFonts w:ascii="Montserrat;sans-serif" w:hAnsi="Montserrat;sans-serif"/>
                <w:color w:val="000000"/>
                <w:sz w:val="8"/>
              </w:rPr>
            </w:pPr>
            <w:r>
              <w:rPr>
                <w:rFonts w:ascii="Montserrat;sans-serif" w:hAnsi="Montserrat;sans-serif"/>
                <w:color w:val="000000"/>
                <w:sz w:val="8"/>
              </w:rPr>
              <w:t>(6)</w:t>
            </w:r>
          </w:p>
        </w:tc>
        <w:tc>
          <w:tcPr>
            <w:tcW w:w="180"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1,795,674</w:t>
            </w:r>
          </w:p>
        </w:tc>
        <w:tc>
          <w:tcPr>
            <w:tcW w:w="198"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Montserrat;sans-serif" w:hAnsi="Montserrat;sans-serif"/>
          <w:color w:val="000000"/>
          <w:sz w:val="16"/>
        </w:rPr>
      </w:pPr>
      <w:r>
        <w:rPr>
          <w:rFonts w:ascii="Montserrat;sans-serif" w:hAnsi="Montserrat;sans-serif"/>
          <w:color w:val="000000"/>
          <w:sz w:val="16"/>
        </w:rPr>
        <w:t>(1)</w:t>
      </w:r>
    </w:p>
    <w:p>
      <w:pPr>
        <w:pStyle w:val="TextBody"/>
        <w:bidi w:val="0"/>
        <w:jc w:val="both"/>
        <w:rPr>
          <w:rFonts w:ascii="Montserrat;sans-serif" w:hAnsi="Montserrat;sans-serif"/>
          <w:color w:val="000000"/>
          <w:sz w:val="16"/>
        </w:rPr>
      </w:pPr>
      <w:r>
        <w:rPr>
          <w:rFonts w:ascii="Montserrat;sans-serif" w:hAnsi="Montserrat;sans-serif"/>
          <w:color w:val="000000"/>
          <w:sz w:val="16"/>
        </w:rPr>
        <w:t>Based on the closing price per share of our Class A common stock as reported on The Nasdaq Global Select Market on July 31, 2026, which was $59.01.</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301"/>
        <w:gridCol w:w="2671"/>
      </w:tblGrid>
      <w:tr>
        <w:trPr/>
        <w:tc>
          <w:tcPr>
            <w:tcW w:w="30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60</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207"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98" descr=""/>
                          <pic:cNvPicPr>
                            <a:picLocks noChangeAspect="1" noChangeArrowheads="1"/>
                          </pic:cNvPicPr>
                        </pic:nvPicPr>
                        <pic:blipFill>
                          <a:blip r:embed="rId200"/>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rFonts w:ascii="Montserrat;sans-serif" w:hAnsi="Montserrat;sans-serif"/>
          <w:color w:val="000000"/>
          <w:sz w:val="13"/>
        </w:rPr>
      </w:pPr>
      <w:r>
        <w:rPr>
          <w:rFonts w:ascii="Montserrat;sans-serif" w:hAnsi="Montserrat;sans-serif"/>
          <w:color w:val="000000"/>
          <w:sz w:val="13"/>
        </w:rPr>
        <w:t>Executive Compensation</w:t>
      </w:r>
    </w:p>
    <w:p>
      <w:pPr>
        <w:pStyle w:val="TextBody"/>
        <w:bidi w:val="0"/>
        <w:spacing w:before="60" w:after="283"/>
        <w:jc w:val="right"/>
        <w:rPr>
          <w:rFonts w:ascii="Montserrat;sans-serif" w:hAnsi="Montserrat;sans-serif"/>
          <w:color w:val="000000"/>
          <w:sz w:val="12"/>
        </w:rPr>
      </w:pPr>
      <w:r>
        <w:rPr>
          <w:rFonts w:ascii="Montserrat;sans-serif" w:hAnsi="Montserrat;sans-serif"/>
          <w:color w:val="000000"/>
          <w:sz w:val="12"/>
        </w:rPr>
        <w:t>Executive Compensation Tables</w:t>
      </w:r>
    </w:p>
    <w:p>
      <w:pPr>
        <w:pStyle w:val="TextBody"/>
        <w:bidi w:val="0"/>
        <w:jc w:val="right"/>
        <w:rPr/>
      </w:pPr>
      <w:r>
        <w:rPr/>
        <w:t> </w:t>
      </w:r>
    </w:p>
    <w:p>
      <w:pPr>
        <w:pStyle w:val="TextBody"/>
        <w:bidi w:val="0"/>
        <w:jc w:val="right"/>
        <w:rPr/>
      </w:pPr>
      <w:r>
        <w:rPr/>
        <w:t> </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(2)</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The RSUs vest in 16 equal quarterly installments, with the first quarterly installment having vested on December 15, 2022, subject to continued service through each vesting date.</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(3)</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The RSUs vest in 16 equal quarterly installments, with the first quarterly installment having vested on December 15, 2023, subject to continued service through each vesting date.</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(4)</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The RSUs vest in 16 equal quarterly installments, with the first quarterly installment having vested on December 15, 2024, subject to continued service through each vesting date.</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(5)</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The RSUs vest in 16 equal quarterly installments, with the first quarterly installment having vested on December 15, 2025, subject to continued service through each vesting date.</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(6)</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The PRSUs are eligible to vest in up to three installments based on the TSR of our company relative to the TSR of companies in the Nasdaq Composite Index over cumulative one-, two-, and three-year performance periods beginning on the first day of the fiscal year in which the award was granted. PRSUs that become eligible to vest based on performance vest on September 15 following the applicable performance period, subject to continued service through the vesting date. The achievement percentage for each performance period ranges from 0% to 200% of target, except that the achievement percentage is capped at 100% for the first two performance periods. Up to one-third of the target number of PRSUs are eligible to vest based on performance for each of the first two performance periods. The achievement percentage is (i) 0% if our TSR ranks below the 25th percentile of the indexed companies, (ii) 50% if our TSR ranks at the 25th percentile of the indexed companies, (iii) 100% if our TSR ranks at the 50th percentile of the indexed companies, and (iv) 200% if our TSR ranks at or above the 75th percentile of the indexed companies. If our TSR ranks between these percentile thresholds, the achievement percentage is determined using linear interpolation. 100% of the target number of PRSUs (as may be increased as a result of any achievement percentage in excess of target) will be eligible to vest with respect to the third performance period, less any PRSUs already vested in the first two interim performance periods. PRSUs granted prior to November 2025 are subject to a maximum value cap that limits the total value that may become eligible to vest at the end of the third performance period, with the achievement percentage for the period subject to reduction so that the product of the ending price per share at the end of the period multiplied by the achievement percentage cannot exceed: $144.40 for the awards granted on August 29, 2023; and $267.30 for the awards granted on September 10, 2024, as applicable. For purposes of the values reported in the table, the awards granted on August 29, 2023 and September 10, 2024 are reported at maximum performance, and the awards granted on November 10, 2025 are reported at target performance.</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(7)</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The PRSUs are eligible to vest at the target level of stock price performance and become eligible to vest in a range from 0% to 200% of the target number based on actual performance achieved relative to the following stock price hurdles at any time during the Performance Period: (i) 100% of the PRSUs for a stock price hurdle of $70, (ii) 150% of the PRSUs for a stock price hurdle of $80, and (iii) 200% of the PRSUs for a stock price hurdle of $90. A stock price hurdle is only achieved if the average closing price of our company’s common stock is equal to or greater than the hurdle price for 90 consecutive calendar days. None of the PRSUs become eligible to vest for achievement of a stock price hurdle of less than $70. In addition, a maximum of 100% of the target number of PRSUs will be eligible to vest if our company’s TSR ranks at less than the 50th percentile relative to the TSR of companies in the Nasdaq Composite Index during the Performance Period. Achievement of the stock price hurdles may occur at any time during the Performance Period, but vesting will remain subject to Mr. Ramaswami’s continued employment as CEO through September 15, 2027. The values reported reflect achievement at 150% of target assuming attainment of the $80 stock price hurdle based on the attainment of the $70 target stock price hurdle (100%) during fiscal year 2025.</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(8)</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The PRSUs become eligible to vest upon achievement of specified FCF hurdles, with achievement of 100% of the PRSUs at the target level of FCF performance and additional achievement levels of 150% and 200% of the target number of PRSUs at higher levels of FCF performance. None of the PRSUs are eligible to vest if performance is below the target level of FCF performance. The target level FCF was set relative to our company’s internal long-term plans and requires strong performance over the Performance Period to be achieved. FCF will be measured over the last four completed fiscal quarters ending on the last day of the Performance Period on July 31, 2027. Linear interpolation will not apply in the case of achievement between the 100%, 150% and 200% payout percentage levels. PRSU vesting remains subject to Mr. Ramaswami’s continued employment as CEO through September 15, 2027. The values reported reflect achievement at 100% of target.</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(9)</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The PRSUs become eligible to vest upon achievement of specified ARR hurdles, with achievement of 100% of the PRSUs at the target level of ARR performance and additional achievement levels of 150% and 200% of the target number of PRSUs at higher levels of ARR performance. None of the PRSUs are eligible to vest if performance is below the target level of ARR performance. The target level ARR was set relative to our company’s internal long-term plans and requires strong performance over the Performance Period to be achieved. ARR will be measured as of the last day of the Performance Period on July 31, 2027. Linear interpolation will not apply in the case of achievement between the 100%, 150% and 200% payout percentage levels. PRSU vesting remains subject to Mr. Ramaswami’s continued employment as CEO through September 15, 2027. The values reported reflect achievement at 100% of target.</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(10)</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25% of the RSUs vested on September 15, 2025 and the remainder vest in 12 equal quarterly installments, with the first quarterly installment vesting on December 15, 2025, subject to continued service through each vesting date.</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(11)</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 xml:space="preserve">Mr. Maner served as President and Chief Commercial Officer during fiscal year 2026 and stepped down from that position following the end of fiscal year 2026. In connection with his transition from that role, we entered into a Transition Advisory Services Agreement with Mr. Maner. While Mr. Maner continues to provide services under that arrangement, he remains eligible to satisfy the applicable vesting requirements of his outstanding equity awards in accordance with the terms of our equity incentive plan and the applicable award agreements. The Transition Advisory Services Agreement does not modify, accelerate or otherwise alter the terms of those awards. See “Executive Compensation—Employment Arrangements” for additional information regarding this arrangement. </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2641"/>
        <w:gridCol w:w="331"/>
      </w:tblGrid>
      <w:tr>
        <w:trPr/>
        <w:tc>
          <w:tcPr>
            <w:tcW w:w="26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208"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99" descr=""/>
                          <pic:cNvPicPr>
                            <a:picLocks noChangeAspect="1" noChangeArrowheads="1"/>
                          </pic:cNvPicPr>
                        </pic:nvPicPr>
                        <pic:blipFill>
                          <a:blip r:embed="rId201"/>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3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61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rFonts w:ascii="Montserrat;sans-serif" w:hAnsi="Montserrat;sans-serif"/>
          <w:color w:val="000000"/>
          <w:sz w:val="13"/>
        </w:rPr>
      </w:pPr>
      <w:r>
        <w:rPr>
          <w:rFonts w:ascii="Montserrat;sans-serif" w:hAnsi="Montserrat;sans-serif"/>
          <w:color w:val="000000"/>
          <w:sz w:val="13"/>
        </w:rPr>
        <w:t>Executive Compensation</w:t>
      </w:r>
    </w:p>
    <w:p>
      <w:pPr>
        <w:pStyle w:val="TextBody"/>
        <w:bidi w:val="0"/>
        <w:spacing w:before="60" w:after="283"/>
        <w:jc w:val="left"/>
        <w:rPr>
          <w:rFonts w:ascii="Montserrat;sans-serif" w:hAnsi="Montserrat;sans-serif"/>
          <w:color w:val="000000"/>
          <w:sz w:val="12"/>
        </w:rPr>
      </w:pPr>
      <w:r>
        <w:rPr>
          <w:rFonts w:ascii="Montserrat;sans-serif" w:hAnsi="Montserrat;sans-serif"/>
          <w:color w:val="000000"/>
          <w:sz w:val="12"/>
        </w:rPr>
        <w:t>Executive Compensation Tables</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2026 Option Exercises and Stock Vested Value</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following table presents, for each of our NEOs, the shares of our Class A common stock that were acquired upon the exercise of stock options and vesting of RSU and PRSU awards and the related value realized during fiscal year 2026.</w:t>
      </w:r>
    </w:p>
    <w:p>
      <w:pPr>
        <w:pStyle w:val="TextBody"/>
        <w:bidi w:val="0"/>
        <w:jc w:val="both"/>
        <w:rPr/>
      </w:pPr>
      <w:r>
        <w:rPr/>
        <w:t> </w:t>
      </w:r>
    </w:p>
    <w:tbl>
      <w:tblPr>
        <w:tblW w:w="6911" w:type="dxa"/>
        <w:jc w:val="left"/>
        <w:tblInd w:w="0" w:type="dxa"/>
        <w:tblLayout w:type="fixed"/>
        <w:tblCellMar>
          <w:top w:w="28" w:type="dxa"/>
          <w:left w:w="28" w:type="dxa"/>
          <w:bottom w:w="28" w:type="dxa"/>
          <w:right w:w="28" w:type="dxa"/>
        </w:tblCellMar>
      </w:tblPr>
      <w:tblGrid>
        <w:gridCol w:w="1626"/>
        <w:gridCol w:w="146"/>
        <w:gridCol w:w="288"/>
        <w:gridCol w:w="687"/>
        <w:gridCol w:w="146"/>
        <w:gridCol w:w="146"/>
        <w:gridCol w:w="284"/>
        <w:gridCol w:w="676"/>
        <w:gridCol w:w="146"/>
        <w:gridCol w:w="146"/>
        <w:gridCol w:w="170"/>
        <w:gridCol w:w="805"/>
        <w:gridCol w:w="146"/>
        <w:gridCol w:w="146"/>
        <w:gridCol w:w="146"/>
        <w:gridCol w:w="916"/>
        <w:gridCol w:w="291"/>
      </w:tblGrid>
      <w:tr>
        <w:trPr/>
        <w:tc>
          <w:tcPr>
            <w:tcW w:w="1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7855FA"/>
                <w:sz w:val="14"/>
              </w:rPr>
            </w:pPr>
            <w:r>
              <w:rPr>
                <w:rFonts w:ascii="Montserrat;sans-serif" w:hAnsi="Montserrat;sans-serif"/>
                <w:b/>
                <w:color w:val="7855FA"/>
                <w:sz w:val="14"/>
              </w:rPr>
              <w:t>Option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7855FA"/>
                <w:sz w:val="14"/>
              </w:rPr>
            </w:pPr>
            <w:r>
              <w:rPr>
                <w:rFonts w:ascii="Montserrat;sans-serif" w:hAnsi="Montserrat;sans-serif"/>
                <w:b/>
                <w:color w:val="7855FA"/>
                <w:sz w:val="14"/>
              </w:rPr>
              <w:t>Stock Awards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7" w:type="dxa"/>
            <w:gridSpan w:val="6"/>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29" w:type="dxa"/>
            <w:gridSpan w:val="6"/>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7"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9"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626"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sans-serif" w:hAnsi="Montserrat;sans-serif"/>
                <w:b/>
                <w:color w:val="7855FA"/>
                <w:sz w:val="14"/>
              </w:rPr>
            </w:pPr>
            <w:r>
              <w:rPr>
                <w:rFonts w:ascii="Montserrat;sans-serif" w:hAnsi="Montserrat;sans-serif"/>
                <w:b/>
                <w:color w:val="7855FA"/>
                <w:sz w:val="14"/>
              </w:rPr>
              <w:t>Name</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b/>
                <w:color w:val="7855FA"/>
                <w:sz w:val="14"/>
              </w:rPr>
            </w:pPr>
            <w:r>
              <w:rPr>
                <w:rFonts w:ascii="Montserrat;sans-serif" w:hAnsi="Montserrat;sans-serif"/>
                <w:b/>
                <w:color w:val="7855FA"/>
                <w:sz w:val="14"/>
              </w:rPr>
              <w:t>Number</w:t>
              <w:br/>
              <w:t>of Shares</w:t>
              <w:br/>
              <w:t>Acquired on</w:t>
              <w:br/>
              <w:t>Exercise</w:t>
              <w:b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b/>
                <w:color w:val="7855FA"/>
                <w:sz w:val="14"/>
              </w:rPr>
            </w:pPr>
            <w:r>
              <w:rPr>
                <w:rFonts w:ascii="Montserrat;sans-serif" w:hAnsi="Montserrat;sans-serif"/>
                <w:b/>
                <w:color w:val="7855FA"/>
                <w:sz w:val="14"/>
              </w:rPr>
              <w:t>Value</w:t>
              <w:br/>
              <w:t>Realized on</w:t>
              <w:br/>
              <w:t>Exercise</w:t>
              <w:b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b/>
                <w:color w:val="7855FA"/>
                <w:sz w:val="14"/>
              </w:rPr>
            </w:pPr>
            <w:r>
              <w:rPr>
                <w:rFonts w:ascii="Montserrat;sans-serif" w:hAnsi="Montserrat;sans-serif"/>
                <w:b/>
                <w:color w:val="7855FA"/>
                <w:sz w:val="14"/>
              </w:rPr>
              <w:t>Number</w:t>
              <w:br/>
              <w:t>of Shares</w:t>
              <w:br/>
              <w:t>Acquired on</w:t>
              <w:br/>
              <w:t>Vesting</w:t>
              <w:b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7855FA"/>
            </w:tcBorders>
            <w:shd w:fill="FFFFFF" w:val="clear"/>
            <w:tcMar>
              <w:top w:w="0" w:type="dxa"/>
              <w:left w:w="0" w:type="dxa"/>
              <w:right w:w="0" w:type="dxa"/>
            </w:tcMar>
            <w:vAlign w:val="center"/>
          </w:tcPr>
          <w:p>
            <w:pPr>
              <w:pStyle w:val="TableContents"/>
              <w:bidi w:val="0"/>
              <w:spacing w:lineRule="auto" w:line="360" w:before="0" w:after="283"/>
              <w:jc w:val="right"/>
              <w:rPr>
                <w:rFonts w:ascii="Montserrat;sans-serif" w:hAnsi="Montserrat;sans-serif"/>
                <w:sz w:val="14"/>
              </w:rPr>
            </w:pPr>
            <w:r>
              <w:rPr>
                <w:rFonts w:ascii="Montserrat;sans-serif" w:hAnsi="Montserrat;sans-serif"/>
                <w:b/>
                <w:color w:val="7855FA"/>
                <w:sz w:val="14"/>
              </w:rPr>
              <w:t>Value</w:t>
              <w:br/>
              <w:t>Realized on</w:t>
              <w:br/>
              <w:t>Vesting</w:t>
            </w:r>
            <w:r>
              <w:rPr>
                <w:rFonts w:ascii="Montserrat;sans-serif" w:hAnsi="Montserrat;sans-serif"/>
                <w:b/>
                <w:color w:val="7855FA"/>
                <w:sz w:val="9"/>
              </w:rPr>
              <w:t>(1)</w:t>
            </w:r>
            <w:r>
              <w:rPr>
                <w:rFonts w:ascii="Montserrat;sans-serif" w:hAnsi="Montserrat;sans-serif"/>
                <w:b/>
                <w:color w:val="7855FA"/>
                <w:sz w:val="14"/>
              </w:rPr>
              <w:br/>
              <w:t>($)</w:t>
            </w:r>
          </w:p>
        </w:tc>
        <w:tc>
          <w:tcPr>
            <w:tcW w:w="291"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16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80" w:right="0" w:firstLine="80"/>
              <w:jc w:val="left"/>
              <w:rPr>
                <w:rFonts w:ascii="Montserrat;Montserrat Medium;sans-serif" w:hAnsi="Montserrat;Montserrat Medium;sans-serif"/>
                <w:b/>
                <w:color w:val="000000"/>
                <w:sz w:val="14"/>
              </w:rPr>
            </w:pPr>
            <w:r>
              <w:rPr>
                <w:rFonts w:ascii="Montserrat;Montserrat Medium;sans-serif" w:hAnsi="Montserrat;Montserrat Medium;sans-serif"/>
                <w:b/>
                <w:color w:val="000000"/>
                <w:sz w:val="14"/>
              </w:rPr>
              <w:t>Rajiv Ramaswami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477,758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32,414,452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16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80" w:right="0" w:firstLine="80"/>
              <w:jc w:val="left"/>
              <w:rPr>
                <w:rFonts w:ascii="Montserrat;Montserrat Medium;sans-serif" w:hAnsi="Montserrat;Montserrat Medium;sans-serif"/>
                <w:b/>
                <w:color w:val="000000"/>
                <w:sz w:val="14"/>
              </w:rPr>
            </w:pPr>
            <w:r>
              <w:rPr>
                <w:rFonts w:ascii="Montserrat;Montserrat Medium;sans-serif" w:hAnsi="Montserrat;Montserrat Medium;sans-serif"/>
                <w:b/>
                <w:color w:val="000000"/>
                <w:sz w:val="14"/>
              </w:rPr>
              <w:t>Rukmini Sivaraman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182,175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12,073,309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16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80" w:right="0" w:firstLine="80"/>
              <w:jc w:val="left"/>
              <w:rPr>
                <w:rFonts w:ascii="Montserrat;Montserrat Medium;sans-serif" w:hAnsi="Montserrat;Montserrat Medium;sans-serif"/>
                <w:b/>
                <w:color w:val="000000"/>
                <w:sz w:val="14"/>
              </w:rPr>
            </w:pPr>
            <w:r>
              <w:rPr>
                <w:rFonts w:ascii="Montserrat;Montserrat Medium;sans-serif" w:hAnsi="Montserrat;Montserrat Medium;sans-serif"/>
                <w:b/>
                <w:color w:val="000000"/>
                <w:sz w:val="14"/>
              </w:rPr>
              <w:t>Brian Martin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40,603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2,711,525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1626"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80" w:right="0" w:firstLine="80"/>
              <w:jc w:val="left"/>
              <w:rPr>
                <w:rFonts w:ascii="Montserrat;Montserrat Medium;sans-serif" w:hAnsi="Montserrat;Montserrat Medium;sans-serif"/>
                <w:b/>
                <w:color w:val="000000"/>
                <w:sz w:val="14"/>
              </w:rPr>
            </w:pPr>
            <w:r>
              <w:rPr>
                <w:rFonts w:ascii="Montserrat;Montserrat Medium;sans-serif" w:hAnsi="Montserrat;Montserrat Medium;sans-serif"/>
                <w:b/>
                <w:color w:val="000000"/>
                <w:sz w:val="14"/>
              </w:rPr>
              <w:t>Tarkan Maner</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106,166</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7,219,121</w:t>
            </w:r>
          </w:p>
        </w:tc>
        <w:tc>
          <w:tcPr>
            <w:tcW w:w="29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Montserrat;sans-serif" w:hAnsi="Montserrat;sans-serif"/>
          <w:color w:val="000000"/>
          <w:sz w:val="16"/>
        </w:rPr>
      </w:pPr>
      <w:r>
        <w:rPr>
          <w:rFonts w:ascii="Montserrat;sans-serif" w:hAnsi="Montserrat;sans-serif"/>
          <w:color w:val="000000"/>
          <w:sz w:val="16"/>
        </w:rPr>
        <w:t>(1)</w:t>
      </w:r>
    </w:p>
    <w:p>
      <w:pPr>
        <w:pStyle w:val="TextBody"/>
        <w:bidi w:val="0"/>
        <w:jc w:val="both"/>
        <w:rPr>
          <w:rFonts w:ascii="Montserrat;sans-serif" w:hAnsi="Montserrat;sans-serif"/>
          <w:color w:val="000000"/>
          <w:sz w:val="16"/>
        </w:rPr>
      </w:pPr>
      <w:r>
        <w:rPr>
          <w:rFonts w:ascii="Montserrat;sans-serif" w:hAnsi="Montserrat;sans-serif"/>
          <w:color w:val="000000"/>
          <w:sz w:val="16"/>
        </w:rPr>
        <w:t>The value realized upon vesting of RSUs or PRSUs is calculated by multiplying the number of shares vested by the closing price per share of our Class A common stock as reported on The Nasdaq Global Select Market on the applicable vesting date (or, in the event the applicable vesting date occurs on a holiday or weekend, the closing price per share of our Class A common stock as reported on The Nasdaq Global Select Market on the immediately preceding trading day).</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301"/>
        <w:gridCol w:w="2671"/>
      </w:tblGrid>
      <w:tr>
        <w:trPr/>
        <w:tc>
          <w:tcPr>
            <w:tcW w:w="30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62</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209"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200" descr=""/>
                          <pic:cNvPicPr>
                            <a:picLocks noChangeAspect="1" noChangeArrowheads="1"/>
                          </pic:cNvPicPr>
                        </pic:nvPicPr>
                        <pic:blipFill>
                          <a:blip r:embed="rId202"/>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rFonts w:ascii="Montserrat;sans-serif" w:hAnsi="Montserrat;sans-serif"/>
          <w:color w:val="000000"/>
          <w:sz w:val="13"/>
        </w:rPr>
      </w:pPr>
      <w:r>
        <w:rPr>
          <w:rFonts w:ascii="Montserrat;sans-serif" w:hAnsi="Montserrat;sans-serif"/>
          <w:color w:val="000000"/>
          <w:sz w:val="13"/>
        </w:rPr>
        <w:t>Executive Compensation</w:t>
      </w:r>
    </w:p>
    <w:p>
      <w:pPr>
        <w:pStyle w:val="TextBody"/>
        <w:bidi w:val="0"/>
        <w:spacing w:before="60" w:after="283"/>
        <w:jc w:val="right"/>
        <w:rPr>
          <w:rFonts w:ascii="Montserrat;sans-serif" w:hAnsi="Montserrat;sans-serif"/>
          <w:color w:val="000000"/>
          <w:sz w:val="12"/>
        </w:rPr>
      </w:pPr>
      <w:r>
        <w:rPr>
          <w:rFonts w:ascii="Montserrat;sans-serif" w:hAnsi="Montserrat;sans-serif"/>
          <w:color w:val="000000"/>
          <w:sz w:val="12"/>
        </w:rPr>
        <w:t>Employment Arrangements</w:t>
      </w:r>
    </w:p>
    <w:p>
      <w:pPr>
        <w:pStyle w:val="TextBody"/>
        <w:bidi w:val="0"/>
        <w:jc w:val="right"/>
        <w:rPr/>
      </w:pPr>
      <w:r>
        <w:rPr/>
        <w:t> </w:t>
      </w:r>
    </w:p>
    <w:p>
      <w:pPr>
        <w:pStyle w:val="TextBody"/>
        <w:bidi w:val="0"/>
        <w:jc w:val="right"/>
        <w:rPr/>
      </w:pPr>
      <w:r>
        <w:rPr/>
        <w:t> </w:t>
      </w:r>
    </w:p>
    <w:p>
      <w:pPr>
        <w:pStyle w:val="Heading2"/>
        <w:bidi w:val="0"/>
        <w:jc w:val="left"/>
        <w:rPr>
          <w:rFonts w:ascii="Montserrat;sans-serif" w:hAnsi="Montserrat;sans-serif"/>
          <w:color w:val="7855FA"/>
          <w:sz w:val="28"/>
        </w:rPr>
      </w:pPr>
      <w:bookmarkStart w:id="22" w:name="employment_arrangements"/>
      <w:bookmarkEnd w:id="22"/>
      <w:r>
        <w:rPr>
          <w:rFonts w:ascii="Montserrat;sans-serif" w:hAnsi="Montserrat;sans-serif"/>
          <w:color w:val="7855FA"/>
          <w:sz w:val="28"/>
        </w:rPr>
        <w:t>Employment Arrangements</w:t>
      </w:r>
    </w:p>
    <w:p>
      <w:pPr>
        <w:pStyle w:val="TextBody"/>
        <w:bidi w:val="0"/>
        <w:spacing w:before="360" w:after="283"/>
        <w:jc w:val="left"/>
        <w:rPr>
          <w:rFonts w:ascii="Montserrat;sans-serif" w:hAnsi="Montserrat;sans-serif"/>
          <w:b/>
          <w:color w:val="000000"/>
          <w:sz w:val="24"/>
        </w:rPr>
      </w:pPr>
      <w:r>
        <w:rPr>
          <w:rFonts w:ascii="Montserrat;sans-serif" w:hAnsi="Montserrat;sans-serif"/>
          <w:b/>
          <w:color w:val="000000"/>
          <w:sz w:val="24"/>
        </w:rPr>
        <w:t>Employment Arrangements with Named Executive Officers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We have entered into employment agreements with each of our NEOs. Each of these arrangements was negotiated on our behalf by the Compensation Committee or our then current CEO.</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Typically, these arrangements provide for at-will employment and set forth the initial terms and conditions of employment of each NEO, including base salary, target annual incentive opportunity, standard employee benefit plan participation, a recommendation for initial equity awards and in certain cases the circumstances, if applicable, under which post-employment compensation or vesting acceleration terms might apply. These offers of employment were each subject to execution of a standard proprietary information and invention agreement and proof of identity and work eligibility in the United States.</w:t>
      </w:r>
    </w:p>
    <w:p>
      <w:pPr>
        <w:pStyle w:val="TextBody"/>
        <w:bidi w:val="0"/>
        <w:spacing w:before="360" w:after="283"/>
        <w:jc w:val="left"/>
        <w:rPr>
          <w:rFonts w:ascii="Montserrat;Montserrat Medium;sans-serif" w:hAnsi="Montserrat;Montserrat Medium;sans-serif"/>
          <w:b/>
          <w:color w:val="7855FA"/>
          <w:sz w:val="20"/>
        </w:rPr>
      </w:pPr>
      <w:r>
        <w:rPr>
          <w:rFonts w:ascii="Montserrat;Montserrat Medium;sans-serif" w:hAnsi="Montserrat;Montserrat Medium;sans-serif"/>
          <w:b/>
          <w:color w:val="7855FA"/>
          <w:sz w:val="20"/>
        </w:rPr>
        <w:t>Rajiv Ramaswami</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We entered into an employment letter with Rajiv Ramaswami, our Chief Executive Officer, on December 7, 2020. The employment letter has an indefinite term and Mr. Ramaswami’s employment is at-will. Mr. Ramaswami’s current annual base salary is $800,000, and he is currently eligible to earn annual incentive compensation with a target equal to 100% of annual base salary based upon achievement of targets determined by our Board or the Compensation Committee for each fiscal year.</w:t>
      </w:r>
    </w:p>
    <w:p>
      <w:pPr>
        <w:pStyle w:val="TextBody"/>
        <w:bidi w:val="0"/>
        <w:spacing w:lineRule="auto" w:line="360" w:before="120" w:after="283"/>
        <w:jc w:val="both"/>
        <w:rPr>
          <w:rFonts w:ascii="Montserrat;sans-serif" w:hAnsi="Montserrat;sans-serif"/>
          <w:sz w:val="12"/>
        </w:rPr>
      </w:pPr>
      <w:r>
        <w:rPr>
          <w:rFonts w:ascii="Montserrat;sans-serif" w:hAnsi="Montserrat;sans-serif"/>
          <w:color w:val="000000"/>
          <w:sz w:val="18"/>
        </w:rPr>
        <w:t>In connection with his hire, Mr. Ramaswami was granted 378,601 RSUs and a target number of 703,117 PRSUs under our 2016 Equity Incentive Plan. 25% of the RSUs vested on December 15, 2021, with 1/16</w:t>
      </w:r>
      <w:r>
        <w:rPr>
          <w:rFonts w:ascii="Montserrat;sans-serif" w:hAnsi="Montserrat;sans-serif"/>
          <w:color w:val="000000"/>
          <w:sz w:val="12"/>
        </w:rPr>
        <w:t xml:space="preserve">th </w:t>
      </w:r>
      <w:r>
        <w:rPr>
          <w:rFonts w:ascii="Montserrat;sans-serif" w:hAnsi="Montserrat;sans-serif"/>
          <w:color w:val="000000"/>
          <w:sz w:val="18"/>
        </w:rPr>
        <w:t>of the RSUs vesting quarterly thereafter, subject to continued service through each vesting date. The PRSUs were subject to stock price-based milestones. The first milestone required achievement of an average closing price per share of our Class A common stock of $32.09 for a 30 consecutive calendar day period. The second milestone required achievement of an average closing price per share of our Class A common stock of $38.51 for a 30 consecutive calendar day period. In October 2021, the Compensation Committee determined that the second milestone was achieved, resulting in 133% of the 703,117 PRSUs becoming eligible to vest. Upon achievement, 25% of the eligible PRSUs vested on December 15, 2021, with 1/16</w:t>
      </w:r>
      <w:r>
        <w:rPr>
          <w:rFonts w:ascii="Montserrat;sans-serif" w:hAnsi="Montserrat;sans-serif"/>
          <w:color w:val="000000"/>
          <w:sz w:val="12"/>
        </w:rPr>
        <w:t xml:space="preserve">th </w:t>
      </w:r>
      <w:r>
        <w:rPr>
          <w:rFonts w:ascii="Montserrat;sans-serif" w:hAnsi="Montserrat;sans-serif"/>
          <w:color w:val="000000"/>
          <w:sz w:val="18"/>
        </w:rPr>
        <w:t>of the eligible PRSUs vesting quarterly thereafter, subject to continued service through each vesting date. For additional details regarding Mr. Ramaswami’s equity awards, see “</w:t>
      </w:r>
      <w:r>
        <w:rPr>
          <w:rFonts w:ascii="Montserrat;sans-serif" w:hAnsi="Montserrat;sans-serif"/>
          <w:color w:val="7855FA"/>
          <w:sz w:val="18"/>
        </w:rPr>
        <w:t>Executive Compensation – Executive Compensation Tables</w:t>
      </w:r>
      <w:r>
        <w:rPr>
          <w:rFonts w:ascii="Montserrat;sans-serif" w:hAnsi="Montserrat;sans-serif"/>
          <w:color w:val="000000"/>
          <w:sz w:val="12"/>
        </w:rPr>
        <w:t xml:space="preserve">” </w:t>
      </w:r>
      <w:r>
        <w:rPr>
          <w:rFonts w:ascii="Montserrat;sans-serif" w:hAnsi="Montserrat;sans-serif"/>
          <w:color w:val="000000"/>
          <w:sz w:val="18"/>
        </w:rPr>
        <w:t>above.</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Mr. Ramaswami is a participant in our Executive Severance Policy and our Change of Control and Severance Policy, each of which is described below.</w:t>
      </w:r>
    </w:p>
    <w:p>
      <w:pPr>
        <w:pStyle w:val="TextBody"/>
        <w:bidi w:val="0"/>
        <w:spacing w:before="360" w:after="283"/>
        <w:jc w:val="left"/>
        <w:rPr>
          <w:rFonts w:ascii="Montserrat;Montserrat Medium;sans-serif" w:hAnsi="Montserrat;Montserrat Medium;sans-serif"/>
          <w:b/>
          <w:color w:val="7855FA"/>
          <w:sz w:val="20"/>
        </w:rPr>
      </w:pPr>
      <w:r>
        <w:rPr>
          <w:rFonts w:ascii="Montserrat;Montserrat Medium;sans-serif" w:hAnsi="Montserrat;Montserrat Medium;sans-serif"/>
          <w:b/>
          <w:color w:val="7855FA"/>
          <w:sz w:val="20"/>
        </w:rPr>
        <w:t>Rukmini Sivaraman</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We entered into an employment letter with Rukmini Sivaraman in connection with her promotion to Chief Financial Officer on April 10, 2022. The employment letter has an indefinite term and Ms. Sivaraman’s employment is at-will. Ms. Sivaraman’s current annual base salary is $520,000, and she is currently eligible to earn annual incentive compensation with a target equal to 100% of annual base salary based upon achievement of targets determined by our Board or the Compensation Committee for each fiscal year.</w:t>
      </w:r>
    </w:p>
    <w:p>
      <w:pPr>
        <w:pStyle w:val="TextBody"/>
        <w:bidi w:val="0"/>
        <w:spacing w:lineRule="auto" w:line="360" w:before="120" w:after="283"/>
        <w:jc w:val="both"/>
        <w:rPr>
          <w:rFonts w:ascii="Montserrat;sans-serif" w:hAnsi="Montserrat;sans-serif"/>
          <w:sz w:val="12"/>
        </w:rPr>
      </w:pPr>
      <w:r>
        <w:rPr>
          <w:rFonts w:ascii="Montserrat;sans-serif" w:hAnsi="Montserrat;sans-serif"/>
          <w:color w:val="000000"/>
          <w:sz w:val="18"/>
        </w:rPr>
        <w:t>In connection with her promotion, Ms. Sivaraman was granted 76,161 RSUs under our 2016 Equity Incentive Plan. 1/16</w:t>
      </w:r>
      <w:r>
        <w:rPr>
          <w:rFonts w:ascii="Montserrat;sans-serif" w:hAnsi="Montserrat;sans-serif"/>
          <w:color w:val="000000"/>
          <w:sz w:val="12"/>
        </w:rPr>
        <w:t xml:space="preserve">th </w:t>
      </w:r>
      <w:r>
        <w:rPr>
          <w:rFonts w:ascii="Montserrat;sans-serif" w:hAnsi="Montserrat;sans-serif"/>
          <w:color w:val="000000"/>
          <w:sz w:val="18"/>
        </w:rPr>
        <w:t>of the RSUs vested on September 15, 2022, with 1/16</w:t>
      </w:r>
      <w:r>
        <w:rPr>
          <w:rFonts w:ascii="Montserrat;sans-serif" w:hAnsi="Montserrat;sans-serif"/>
          <w:color w:val="000000"/>
          <w:sz w:val="12"/>
        </w:rPr>
        <w:t xml:space="preserve">th </w:t>
      </w:r>
      <w:r>
        <w:rPr>
          <w:rFonts w:ascii="Montserrat;sans-serif" w:hAnsi="Montserrat;sans-serif"/>
          <w:color w:val="000000"/>
          <w:sz w:val="18"/>
        </w:rPr>
        <w:t>of the RSUs vesting quarterly thereafter, subject to continued service through each vesting date. For additional details regarding Ms. Sivaraman’s outstanding equity awards, see “</w:t>
      </w:r>
      <w:r>
        <w:rPr>
          <w:rFonts w:ascii="Montserrat;sans-serif" w:hAnsi="Montserrat;sans-serif"/>
          <w:color w:val="7855FA"/>
          <w:sz w:val="18"/>
        </w:rPr>
        <w:t>Executive Compensation – Executive Compensation Tables</w:t>
      </w:r>
      <w:r>
        <w:rPr>
          <w:rFonts w:ascii="Montserrat;sans-serif" w:hAnsi="Montserrat;sans-serif"/>
          <w:color w:val="000000"/>
          <w:sz w:val="12"/>
        </w:rPr>
        <w:t xml:space="preserve">” </w:t>
      </w:r>
      <w:r>
        <w:rPr>
          <w:rFonts w:ascii="Montserrat;sans-serif" w:hAnsi="Montserrat;sans-serif"/>
          <w:color w:val="000000"/>
          <w:sz w:val="18"/>
        </w:rPr>
        <w:t>above.</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Ms. Sivaraman is a participant in our Executive Severance Policy and our Change of Control and Severance Policy, each of which is described below.</w:t>
      </w:r>
    </w:p>
    <w:p>
      <w:pPr>
        <w:pStyle w:val="TextBody"/>
        <w:bidi w:val="0"/>
        <w:spacing w:before="360" w:after="283"/>
        <w:jc w:val="left"/>
        <w:rPr>
          <w:rFonts w:ascii="Montserrat;Montserrat Medium;sans-serif" w:hAnsi="Montserrat;Montserrat Medium;sans-serif"/>
          <w:b/>
          <w:color w:val="7855FA"/>
          <w:sz w:val="20"/>
        </w:rPr>
      </w:pPr>
      <w:r>
        <w:rPr>
          <w:rFonts w:ascii="Montserrat;Montserrat Medium;sans-serif" w:hAnsi="Montserrat;Montserrat Medium;sans-serif"/>
          <w:b/>
          <w:color w:val="7855FA"/>
          <w:sz w:val="20"/>
        </w:rPr>
        <w:t>Brian Martin</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We entered into an employment letter with Brian Martin, our Chief Legal Officer, on April 29, 2024. The employment letter has an indefinite term and Mr. Martin’s employment is at-will. Mr. Martin’s annual base salary is $475,000, and he is currently eligible to earn annual incentive compensation with a target equal to 75% of annual base salary based upon achievement of targets determined by our Board or the Compensation Committee for each fiscal year.</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2641"/>
        <w:gridCol w:w="331"/>
      </w:tblGrid>
      <w:tr>
        <w:trPr/>
        <w:tc>
          <w:tcPr>
            <w:tcW w:w="26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210"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201" descr=""/>
                          <pic:cNvPicPr>
                            <a:picLocks noChangeAspect="1" noChangeArrowheads="1"/>
                          </pic:cNvPicPr>
                        </pic:nvPicPr>
                        <pic:blipFill>
                          <a:blip r:embed="rId203"/>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3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63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rFonts w:ascii="Montserrat;sans-serif" w:hAnsi="Montserrat;sans-serif"/>
          <w:color w:val="000000"/>
          <w:sz w:val="13"/>
        </w:rPr>
      </w:pPr>
      <w:r>
        <w:rPr>
          <w:rFonts w:ascii="Montserrat;sans-serif" w:hAnsi="Montserrat;sans-serif"/>
          <w:color w:val="000000"/>
          <w:sz w:val="13"/>
        </w:rPr>
        <w:t>Executive Compensation</w:t>
      </w:r>
    </w:p>
    <w:p>
      <w:pPr>
        <w:pStyle w:val="TextBody"/>
        <w:bidi w:val="0"/>
        <w:spacing w:before="60" w:after="283"/>
        <w:jc w:val="left"/>
        <w:rPr>
          <w:rFonts w:ascii="Montserrat;sans-serif" w:hAnsi="Montserrat;sans-serif"/>
          <w:color w:val="000000"/>
          <w:sz w:val="12"/>
        </w:rPr>
      </w:pPr>
      <w:r>
        <w:rPr>
          <w:rFonts w:ascii="Montserrat;sans-serif" w:hAnsi="Montserrat;sans-serif"/>
          <w:color w:val="000000"/>
          <w:sz w:val="12"/>
        </w:rPr>
        <w:t>Employment Arrangements</w:t>
      </w:r>
    </w:p>
    <w:p>
      <w:pPr>
        <w:pStyle w:val="TextBody"/>
        <w:bidi w:val="0"/>
        <w:jc w:val="left"/>
        <w:rPr/>
      </w:pPr>
      <w:r>
        <w:rPr/>
        <w:t> </w:t>
      </w:r>
    </w:p>
    <w:p>
      <w:pPr>
        <w:pStyle w:val="TextBody"/>
        <w:bidi w:val="0"/>
        <w:jc w:val="left"/>
        <w:rPr/>
      </w:pPr>
      <w:r>
        <w:rPr/>
        <w:t> </w:t>
      </w:r>
    </w:p>
    <w:p>
      <w:pPr>
        <w:pStyle w:val="TextBody"/>
        <w:bidi w:val="0"/>
        <w:spacing w:lineRule="auto" w:line="360" w:before="120" w:after="283"/>
        <w:jc w:val="both"/>
        <w:rPr>
          <w:rFonts w:ascii="Montserrat;sans-serif" w:hAnsi="Montserrat;sans-serif"/>
          <w:sz w:val="12"/>
        </w:rPr>
      </w:pPr>
      <w:r>
        <w:rPr>
          <w:rFonts w:ascii="Montserrat;sans-serif" w:hAnsi="Montserrat;sans-serif"/>
          <w:color w:val="000000"/>
          <w:sz w:val="18"/>
        </w:rPr>
        <w:t>Per the terms of his offer letter, Mr. Martin was granted 45,199 RSUs under the 2016 Equity Incentive Plan. 25% of the RSUs vested on September 15, 2025, with 1/16</w:t>
      </w:r>
      <w:r>
        <w:rPr>
          <w:rFonts w:ascii="Montserrat;sans-serif" w:hAnsi="Montserrat;sans-serif"/>
          <w:color w:val="000000"/>
          <w:sz w:val="12"/>
        </w:rPr>
        <w:t xml:space="preserve">th </w:t>
      </w:r>
      <w:r>
        <w:rPr>
          <w:rFonts w:ascii="Montserrat;sans-serif" w:hAnsi="Montserrat;sans-serif"/>
          <w:color w:val="000000"/>
          <w:sz w:val="18"/>
        </w:rPr>
        <w:t>of the RSUs vesting quarterly thereafter, subject to continued service through each vesting date. For additional details regarding Mr. Martin’s outstanding equity awards, see “</w:t>
      </w:r>
      <w:r>
        <w:rPr>
          <w:rFonts w:ascii="Montserrat;sans-serif" w:hAnsi="Montserrat;sans-serif"/>
          <w:color w:val="7855FA"/>
          <w:sz w:val="18"/>
        </w:rPr>
        <w:t>Executive Compensation – Executive Compensation Tables</w:t>
      </w:r>
      <w:r>
        <w:rPr>
          <w:rFonts w:ascii="Montserrat;sans-serif" w:hAnsi="Montserrat;sans-serif"/>
          <w:color w:val="000000"/>
          <w:sz w:val="12"/>
        </w:rPr>
        <w:t xml:space="preserve">” </w:t>
      </w:r>
      <w:r>
        <w:rPr>
          <w:rFonts w:ascii="Montserrat;sans-serif" w:hAnsi="Montserrat;sans-serif"/>
          <w:color w:val="000000"/>
          <w:sz w:val="18"/>
        </w:rPr>
        <w:t>above. The offer letter also provided for a grant of PRSUs to be granted in the first quarter of fiscal year 2025, consistent with the terms and conditions of PRSUs granted to other executives, and subject to the approval of the Compensation Committee.</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Mr. Martin is a participant in our Executive Severance Policy and our Change of Control and Severance Policy, each of which is described below.</w:t>
      </w:r>
    </w:p>
    <w:p>
      <w:pPr>
        <w:pStyle w:val="TextBody"/>
        <w:bidi w:val="0"/>
        <w:spacing w:before="360" w:after="283"/>
        <w:jc w:val="left"/>
        <w:rPr>
          <w:rFonts w:ascii="Montserrat;Montserrat Medium;sans-serif" w:hAnsi="Montserrat;Montserrat Medium;sans-serif"/>
          <w:b/>
          <w:color w:val="7855FA"/>
          <w:sz w:val="20"/>
        </w:rPr>
      </w:pPr>
      <w:r>
        <w:rPr>
          <w:rFonts w:ascii="Montserrat;Montserrat Medium;sans-serif" w:hAnsi="Montserrat;Montserrat Medium;sans-serif"/>
          <w:b/>
          <w:color w:val="7855FA"/>
          <w:sz w:val="20"/>
        </w:rPr>
        <w:t>Tarkan Maner</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We entered into an employment letter with Tarkan Maner in connection with his promotion to President and Chief Commercial Officer on December 17, 2025. Mr. Maner's employment was at-will. Mr. Maner’s annual base salary was $450,000, and he was eligible to earn annual incentive compensation with a target equal to 75% of annual base salary based upon achievement of targets determined by our Board or Compensation Committee for each fiscal year. Mr. Maner did not receive any additional compensation in connection with his promotion. For additional details regarding Mr. Maner’s outstanding equity awards, see “</w:t>
      </w:r>
      <w:r>
        <w:rPr>
          <w:rFonts w:ascii="Montserrat;sans-serif" w:hAnsi="Montserrat;sans-serif"/>
          <w:color w:val="7855FA"/>
          <w:sz w:val="18"/>
        </w:rPr>
        <w:t>Executive Compensation – Executive Compensation Tables</w:t>
      </w:r>
      <w:r>
        <w:rPr>
          <w:rFonts w:ascii="Montserrat;sans-serif" w:hAnsi="Montserrat;sans-serif"/>
          <w:color w:val="000000"/>
          <w:sz w:val="18"/>
        </w:rPr>
        <w:t>” above.</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While serving as President and Chief Commercial Officer, Mr. Maner participated in our Executive Severance Policy and our Change of Control and Severance Policy, each of which is described below.</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Following the end of fiscal year 2026, Mr. Maner stepped down as President and Chief Commercial Officer in October 2026. In connection with his transition from that role, we entered into a Transition Advisory Services Agreement with Mr. Maner under which Mr. Maner will serve as a senior advisor and provide transition and strategic advisory services to the Company for a twelve-month term, unless earlier terminated in accordance with its terms. The advisory services include support for strategic business opportunities, customer and partner relationship transitions, strategic initiatives and other transition and strategic advisory services. The agreement provides for a monthly advisory fee of $37,500. The agreement does not provide for severance benefits, make-whole payments, new equity awards or accelerated vesting and does not otherwise modify the terms of Mr. Maner’s outstanding equity awards. While Mr. Maner continues to provide services under the agreement, he will remain eligible to satisfy the vesting requirements applicable to his outstanding equity awards under the terms of the applicable equity incentive plan and award agreements. The agreement may be terminated by us for cause and may also be terminated by either party upon 30 days' prior notice.</w:t>
      </w:r>
    </w:p>
    <w:p>
      <w:pPr>
        <w:pStyle w:val="TextBody"/>
        <w:bidi w:val="0"/>
        <w:spacing w:before="360" w:after="283"/>
        <w:jc w:val="left"/>
        <w:rPr>
          <w:rFonts w:ascii="Montserrat;sans-serif" w:hAnsi="Montserrat;sans-serif"/>
          <w:b/>
          <w:color w:val="000000"/>
          <w:sz w:val="24"/>
        </w:rPr>
      </w:pPr>
      <w:r>
        <w:rPr>
          <w:rFonts w:ascii="Montserrat;sans-serif" w:hAnsi="Montserrat;sans-serif"/>
          <w:b/>
          <w:color w:val="000000"/>
          <w:sz w:val="24"/>
        </w:rPr>
        <w:t>Severance and Change in Control-Related Benefits</w:t>
      </w:r>
    </w:p>
    <w:p>
      <w:pPr>
        <w:pStyle w:val="TextBody"/>
        <w:bidi w:val="0"/>
        <w:spacing w:before="360" w:after="283"/>
        <w:jc w:val="left"/>
        <w:rPr>
          <w:rFonts w:ascii="Montserrat;Montserrat Medium;sans-serif" w:hAnsi="Montserrat;Montserrat Medium;sans-serif"/>
          <w:b/>
          <w:color w:val="7855FA"/>
          <w:sz w:val="20"/>
        </w:rPr>
      </w:pPr>
      <w:r>
        <w:rPr>
          <w:rFonts w:ascii="Montserrat;Montserrat Medium;sans-serif" w:hAnsi="Montserrat;Montserrat Medium;sans-serif"/>
          <w:b/>
          <w:color w:val="7855FA"/>
          <w:sz w:val="20"/>
        </w:rPr>
        <w:t>Executive Severance Policy</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We have an Executive Severance Policy that provides designated employees severance benefits, subject to the employee signing a participation agreement, in connection with the involuntary termination of their employment under specific circumstances not related to a change of control. Generally, upon a termination of the eligible employee either (i) by us, other than for cause, death, or disability, or (ii) by the eligible employee on account of a Constructive Termination (as defined in the policy, and such termination, “Qualified Termination”), the policy provides for:</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a lump sum payment equal to the participant’s annual base salary, as in effect immediately prior to the participant’s Qualified Termination or, if the termination is due to a resignation for Constructive Termination based on a material reduction in annual base salary, immediately prior to the reduction, multiplied by 100% for each of our NEOs, and</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payment or reimbursement of the cost of continued health benefits for a period of up to twelve months for each of our NEOs.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To receive severance benefits under the policy, a participant must execute a release of claims.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 xml:space="preserve">For purposes of the policy, constructive termination generally means a termination due to a reduction in substantially all job responsibilities or a material reduction in base salary, subject to notice and an opportunity for us to cure the condition. </w:t>
      </w:r>
    </w:p>
    <w:p>
      <w:pPr>
        <w:pStyle w:val="TextBody"/>
        <w:bidi w:val="0"/>
        <w:spacing w:before="360" w:after="283"/>
        <w:jc w:val="left"/>
        <w:rPr>
          <w:rFonts w:ascii="Montserrat;Montserrat Medium;sans-serif" w:hAnsi="Montserrat;Montserrat Medium;sans-serif"/>
          <w:b/>
          <w:color w:val="7855FA"/>
          <w:sz w:val="20"/>
        </w:rPr>
      </w:pPr>
      <w:r>
        <w:rPr>
          <w:rFonts w:ascii="Montserrat;Montserrat Medium;sans-serif" w:hAnsi="Montserrat;Montserrat Medium;sans-serif"/>
          <w:b/>
          <w:color w:val="7855FA"/>
          <w:sz w:val="20"/>
        </w:rPr>
        <w:t>Change of Control and Severance Policy</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 xml:space="preserve">We have a Change of Control and Severance Policy that provides designated employees severance benefits, subject to the employee signing a participation agreement, in connection with a change of control of our company or in connection </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301"/>
        <w:gridCol w:w="2671"/>
      </w:tblGrid>
      <w:tr>
        <w:trPr/>
        <w:tc>
          <w:tcPr>
            <w:tcW w:w="30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64</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211"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202" descr=""/>
                          <pic:cNvPicPr>
                            <a:picLocks noChangeAspect="1" noChangeArrowheads="1"/>
                          </pic:cNvPicPr>
                        </pic:nvPicPr>
                        <pic:blipFill>
                          <a:blip r:embed="rId204"/>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rFonts w:ascii="Montserrat;sans-serif" w:hAnsi="Montserrat;sans-serif"/>
          <w:color w:val="000000"/>
          <w:sz w:val="13"/>
        </w:rPr>
      </w:pPr>
      <w:r>
        <w:rPr>
          <w:rFonts w:ascii="Montserrat;sans-serif" w:hAnsi="Montserrat;sans-serif"/>
          <w:color w:val="000000"/>
          <w:sz w:val="13"/>
        </w:rPr>
        <w:t>Executive Compensation</w:t>
      </w:r>
    </w:p>
    <w:p>
      <w:pPr>
        <w:pStyle w:val="TextBody"/>
        <w:bidi w:val="0"/>
        <w:spacing w:before="60" w:after="283"/>
        <w:jc w:val="right"/>
        <w:rPr>
          <w:rFonts w:ascii="Montserrat;sans-serif" w:hAnsi="Montserrat;sans-serif"/>
          <w:color w:val="000000"/>
          <w:sz w:val="12"/>
        </w:rPr>
      </w:pPr>
      <w:r>
        <w:rPr>
          <w:rFonts w:ascii="Montserrat;sans-serif" w:hAnsi="Montserrat;sans-serif"/>
          <w:color w:val="000000"/>
          <w:sz w:val="12"/>
        </w:rPr>
        <w:t>Employment Arrangements</w:t>
      </w:r>
    </w:p>
    <w:p>
      <w:pPr>
        <w:pStyle w:val="TextBody"/>
        <w:bidi w:val="0"/>
        <w:jc w:val="right"/>
        <w:rPr/>
      </w:pPr>
      <w:r>
        <w:rPr/>
        <w:t> </w:t>
      </w:r>
    </w:p>
    <w:p>
      <w:pPr>
        <w:pStyle w:val="TextBody"/>
        <w:bidi w:val="0"/>
        <w:jc w:val="right"/>
        <w:rPr/>
      </w:pPr>
      <w:r>
        <w:rPr/>
        <w:t> </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with the involuntary termination of their employment under specific circumstances following a change of control. Each of our NEOs is a participant in the policy. Generally, if a participant’s employment is terminated within three months prior to or 12 months following the consummation of a change in control, which such period is referred to as the change of control period, either by us or a subsidiary of ours other than for cause (as defined in the policy), death or disability or by the participant for good reason (as defined in the policy), the policy provides that:</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a percentage of the then-unvested shares subject to the participant’s then-outstanding time-based equity awards will immediately vest and become exercisable, with the percentage being 100% for each of our NEOs,</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for performance-based equity, the equity vesting benefit will be the amount that would have vested (a) based on actual performance, if performance is measurable at the change in control; otherwise (b) at target level of performance,</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a lump sum payment equal to the participant’s annual base salary, as in effect immediately prior to the participant’s termination or, if the termination is due to a resignation for good reason based on a material reduction in base salary, immediately prior to the reduction, or immediately prior to the change in control, whichever is greater, multiplied by 100% for each of our NEOs,</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a lump sum payment equal to the participant’s target annual incentive as in effect for the fiscal year in which his or her termination of employment occurs, multiplied by 100% for each of our NEOs; and</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payment or reimbursement of the cost of continued health benefits for a period of up to 12 months for each of our NEOs.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To receive severance benefits under our Change of Control and Severance Policy, a participant must execute a release of claims. In addition, the policy provides that, if any payment or benefits to a participant would constitute a parachute payment within the meaning of Section 280G of the Code and be subject to an excise tax under Section 4999 of the Code, the payments and benefits will be either (i) reduced to the largest portion of the payments and benefits that would result in no portion of the payments and benefits being subject to the excise tax, or (ii) not reduced, whichever, after taking into account all federal, state and local employment and income taxes and the excise tax, results in the participant’s receipt, on an after-tax basis, of the greater payments and benefits.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For purposes of the policy, cause generally means repeated willful failure to perform duties, willful misconduct resulting in injury to us, unauthorized use or disclosure of proprietary information or trade secrets, or a material breach of any written agreement with us, subject to notice and an opportunity to cure where applicable.</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 xml:space="preserve">For purposes of the policy, good reason generally means a material reduction in duties or authority, a material reduction in base salary, or a required relocation beyond a specified distance, subject to notice and an opportunity for us to cure the condition. </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2641"/>
        <w:gridCol w:w="331"/>
      </w:tblGrid>
      <w:tr>
        <w:trPr/>
        <w:tc>
          <w:tcPr>
            <w:tcW w:w="26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212"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203" descr=""/>
                          <pic:cNvPicPr>
                            <a:picLocks noChangeAspect="1" noChangeArrowheads="1"/>
                          </pic:cNvPicPr>
                        </pic:nvPicPr>
                        <pic:blipFill>
                          <a:blip r:embed="rId205"/>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3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65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rFonts w:ascii="Montserrat;sans-serif" w:hAnsi="Montserrat;sans-serif"/>
          <w:color w:val="000000"/>
          <w:sz w:val="13"/>
        </w:rPr>
      </w:pPr>
      <w:r>
        <w:rPr>
          <w:rFonts w:ascii="Montserrat;sans-serif" w:hAnsi="Montserrat;sans-serif"/>
          <w:color w:val="000000"/>
          <w:sz w:val="13"/>
        </w:rPr>
        <w:t>Executive Compensation</w:t>
      </w:r>
    </w:p>
    <w:p>
      <w:pPr>
        <w:pStyle w:val="TextBody"/>
        <w:bidi w:val="0"/>
        <w:spacing w:before="60" w:after="283"/>
        <w:jc w:val="left"/>
        <w:rPr>
          <w:rFonts w:ascii="Montserrat;sans-serif" w:hAnsi="Montserrat;sans-serif"/>
          <w:color w:val="000000"/>
          <w:sz w:val="12"/>
        </w:rPr>
      </w:pPr>
      <w:r>
        <w:rPr>
          <w:rFonts w:ascii="Montserrat;sans-serif" w:hAnsi="Montserrat;sans-serif"/>
          <w:color w:val="000000"/>
          <w:sz w:val="12"/>
        </w:rPr>
        <w:t>Employment Arrangements</w:t>
      </w:r>
    </w:p>
    <w:p>
      <w:pPr>
        <w:pStyle w:val="TextBody"/>
        <w:bidi w:val="0"/>
        <w:jc w:val="left"/>
        <w:rPr/>
      </w:pPr>
      <w:r>
        <w:rPr/>
        <w:t> </w:t>
      </w:r>
    </w:p>
    <w:p>
      <w:pPr>
        <w:pStyle w:val="TextBody"/>
        <w:bidi w:val="0"/>
        <w:jc w:val="left"/>
        <w:rPr/>
      </w:pPr>
      <w:r>
        <w:rPr/>
        <w:t> </w:t>
      </w:r>
    </w:p>
    <w:p>
      <w:pPr>
        <w:pStyle w:val="TextBody"/>
        <w:bidi w:val="0"/>
        <w:spacing w:before="360" w:after="283"/>
        <w:jc w:val="both"/>
        <w:rPr>
          <w:rFonts w:ascii="Montserrat;Montserrat Medium;sans-serif" w:hAnsi="Montserrat;Montserrat Medium;sans-serif"/>
          <w:b/>
          <w:color w:val="7855FA"/>
          <w:sz w:val="22"/>
        </w:rPr>
      </w:pPr>
      <w:r>
        <w:rPr>
          <w:rFonts w:ascii="Montserrat;Montserrat Medium;sans-serif" w:hAnsi="Montserrat;Montserrat Medium;sans-serif"/>
          <w:b/>
          <w:color w:val="7855FA"/>
          <w:sz w:val="22"/>
        </w:rPr>
        <w:t>Potential Payments Upon Termination or Change in Control</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following table sets forth the estimated payments that would be received by each of our NEOs who remained employed with us as of July 31, 2026 if (i) pursuant to the terms of our Executive Severance Policy, a hypothetical termination of employment by us (other than for cause, death, or disability) or a hypothetical termination by the officer on account of a Constructive Termination had occurred on July 31, 2026 and (ii) pursuant to the terms of our Change of Control and Severance Policy, a hypothetical termination of employment by us (other than for cause, death, or disability) or a hypothetical termination by the officer for good reason in connection with a change in control of our company had occurred on July 31, 2026. The table below reflects amounts that would have been payable to the NEO assuming that, if applicable, the hypothetical termination occurred on July 31, 2026, and, if applicable, a change in control of our company also occurred on that date.</w:t>
      </w:r>
    </w:p>
    <w:p>
      <w:pPr>
        <w:pStyle w:val="TextBody"/>
        <w:bidi w:val="0"/>
        <w:spacing w:before="120" w:after="283"/>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962"/>
        <w:gridCol w:w="146"/>
        <w:gridCol w:w="153"/>
        <w:gridCol w:w="724"/>
        <w:gridCol w:w="146"/>
        <w:gridCol w:w="146"/>
        <w:gridCol w:w="153"/>
        <w:gridCol w:w="724"/>
        <w:gridCol w:w="146"/>
        <w:gridCol w:w="146"/>
        <w:gridCol w:w="146"/>
        <w:gridCol w:w="916"/>
        <w:gridCol w:w="146"/>
        <w:gridCol w:w="146"/>
        <w:gridCol w:w="147"/>
        <w:gridCol w:w="349"/>
        <w:gridCol w:w="146"/>
        <w:gridCol w:w="146"/>
        <w:gridCol w:w="193"/>
        <w:gridCol w:w="798"/>
        <w:gridCol w:w="146"/>
        <w:gridCol w:w="146"/>
        <w:gridCol w:w="146"/>
        <w:gridCol w:w="916"/>
        <w:gridCol w:w="272"/>
      </w:tblGrid>
      <w:tr>
        <w:trPr/>
        <w:tc>
          <w:tcPr>
            <w:tcW w:w="29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29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962"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Montserrat;sans-serif" w:hAnsi="Montserrat;sans-serif"/>
                <w:b/>
                <w:color w:val="7855FA"/>
                <w:sz w:val="12"/>
              </w:rPr>
            </w:pPr>
            <w:r>
              <w:rPr>
                <w:rFonts w:ascii="Montserrat;sans-serif" w:hAnsi="Montserrat;sans-serif"/>
                <w:b/>
                <w:color w:val="7855FA"/>
                <w:sz w:val="12"/>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360" w:before="0" w:after="283"/>
              <w:jc w:val="right"/>
              <w:rPr>
                <w:rFonts w:ascii="Montserrat;sans-serif" w:hAnsi="Montserrat;sans-serif"/>
                <w:sz w:val="12"/>
              </w:rPr>
            </w:pPr>
            <w:r>
              <w:rPr>
                <w:rFonts w:ascii="Montserrat;sans-serif" w:hAnsi="Montserrat;sans-serif"/>
                <w:b/>
                <w:color w:val="7855FA"/>
                <w:sz w:val="12"/>
              </w:rPr>
              <w:t>Salary</w:t>
              <w:br/>
              <w:t>Severance</w:t>
            </w:r>
            <w:r>
              <w:rPr>
                <w:rFonts w:ascii="Montserrat;sans-serif" w:hAnsi="Montserrat;sans-serif"/>
                <w:b/>
                <w:color w:val="7855FA"/>
                <w:sz w:val="8"/>
              </w:rPr>
              <w:t>(1)</w:t>
            </w:r>
            <w:r>
              <w:rPr>
                <w:rFonts w:ascii="Montserrat;sans-serif" w:hAnsi="Montserrat;sans-serif"/>
                <w:b/>
                <w:color w:val="7855FA"/>
                <w:sz w:val="12"/>
              </w:rPr>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360" w:before="0" w:after="283"/>
              <w:jc w:val="right"/>
              <w:rPr>
                <w:rFonts w:ascii="Montserrat;sans-serif" w:hAnsi="Montserrat;sans-serif"/>
                <w:sz w:val="12"/>
              </w:rPr>
            </w:pPr>
            <w:r>
              <w:rPr>
                <w:rFonts w:ascii="Montserrat;sans-serif" w:hAnsi="Montserrat;sans-serif"/>
                <w:b/>
                <w:color w:val="7855FA"/>
                <w:sz w:val="12"/>
              </w:rPr>
              <w:t>Annual</w:t>
              <w:br/>
              <w:t>Incentive</w:t>
              <w:br/>
              <w:t>Severance</w:t>
            </w:r>
            <w:r>
              <w:rPr>
                <w:rFonts w:ascii="Montserrat;sans-serif" w:hAnsi="Montserrat;sans-serif"/>
                <w:b/>
                <w:color w:val="7855FA"/>
                <w:sz w:val="8"/>
              </w:rPr>
              <w:t>(2)</w:t>
            </w:r>
            <w:r>
              <w:rPr>
                <w:rFonts w:ascii="Montserrat;sans-serif" w:hAnsi="Montserrat;sans-serif"/>
                <w:b/>
                <w:color w:val="7855FA"/>
                <w:sz w:val="12"/>
              </w:rPr>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360" w:before="0" w:after="283"/>
              <w:jc w:val="right"/>
              <w:rPr>
                <w:rFonts w:ascii="Montserrat;sans-serif" w:hAnsi="Montserrat;sans-serif"/>
                <w:sz w:val="12"/>
              </w:rPr>
            </w:pPr>
            <w:r>
              <w:rPr>
                <w:rFonts w:ascii="Montserrat;sans-serif" w:hAnsi="Montserrat;sans-serif"/>
                <w:b/>
                <w:color w:val="7855FA"/>
                <w:sz w:val="12"/>
              </w:rPr>
              <w:t>Value of</w:t>
              <w:br/>
              <w:t>Accelerated</w:t>
              <w:br/>
              <w:t>Vesting</w:t>
            </w:r>
            <w:r>
              <w:rPr>
                <w:rFonts w:ascii="Montserrat;sans-serif" w:hAnsi="Montserrat;sans-serif"/>
                <w:b/>
                <w:color w:val="7855FA"/>
                <w:sz w:val="8"/>
              </w:rPr>
              <w:t>(3)</w:t>
            </w:r>
            <w:r>
              <w:rPr>
                <w:rFonts w:ascii="Montserrat;sans-serif" w:hAnsi="Montserrat;sans-serif"/>
                <w:b/>
                <w:color w:val="7855FA"/>
                <w:sz w:val="12"/>
              </w:rPr>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2"/>
              </w:rPr>
            </w:pPr>
            <w:r>
              <w:rPr>
                <w:rFonts w:ascii="Montserrat;sans-serif" w:hAnsi="Montserrat;sans-serif"/>
                <w:b/>
                <w:color w:val="7855FA"/>
                <w:sz w:val="12"/>
              </w:rPr>
              <w:t>Other</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360" w:before="0" w:after="283"/>
              <w:jc w:val="right"/>
              <w:rPr>
                <w:rFonts w:ascii="Montserrat;sans-serif" w:hAnsi="Montserrat;sans-serif"/>
                <w:sz w:val="12"/>
              </w:rPr>
            </w:pPr>
            <w:r>
              <w:rPr>
                <w:rFonts w:ascii="Montserrat;sans-serif" w:hAnsi="Montserrat;sans-serif"/>
                <w:b/>
                <w:color w:val="7855FA"/>
                <w:sz w:val="12"/>
              </w:rPr>
              <w:t>Continuation</w:t>
              <w:br/>
              <w:t>of Medical</w:t>
              <w:br/>
              <w:t>Benefits</w:t>
            </w:r>
            <w:r>
              <w:rPr>
                <w:rFonts w:ascii="Montserrat;sans-serif" w:hAnsi="Montserrat;sans-serif"/>
                <w:b/>
                <w:color w:val="7855FA"/>
                <w:sz w:val="8"/>
              </w:rPr>
              <w:t>(4)</w:t>
            </w:r>
            <w:r>
              <w:rPr>
                <w:rFonts w:ascii="Montserrat;sans-serif" w:hAnsi="Montserrat;sans-serif"/>
                <w:b/>
                <w:color w:val="7855FA"/>
                <w:sz w:val="12"/>
              </w:rPr>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2"/>
              </w:rPr>
            </w:pPr>
            <w:r>
              <w:rPr>
                <w:rFonts w:ascii="Montserrat;sans-serif" w:hAnsi="Montserrat;sans-serif"/>
                <w:b/>
                <w:color w:val="7855FA"/>
                <w:sz w:val="12"/>
              </w:rPr>
              <w:t>Total</w:t>
              <w:br/>
              <w:t>($)</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62"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877"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877"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062"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496"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991"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062"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96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80" w:right="0" w:firstLine="80"/>
              <w:jc w:val="left"/>
              <w:rPr>
                <w:rFonts w:ascii="Montserrat;Montserrat Medium;sans-serif" w:hAnsi="Montserrat;Montserrat Medium;sans-serif"/>
                <w:b/>
                <w:color w:val="000000"/>
                <w:sz w:val="13"/>
              </w:rPr>
            </w:pPr>
            <w:r>
              <w:rPr>
                <w:rFonts w:ascii="Montserrat;Montserrat Medium;sans-serif" w:hAnsi="Montserrat;Montserrat Medium;sans-serif"/>
                <w:b/>
                <w:color w:val="000000"/>
                <w:sz w:val="13"/>
              </w:rPr>
              <w:t>Rajiv Ramaswami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962"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ind w:left="80" w:right="0" w:firstLine="80"/>
              <w:jc w:val="left"/>
              <w:rPr>
                <w:rFonts w:ascii="Montserrat;sans-serif" w:hAnsi="Montserrat;sans-serif"/>
                <w:sz w:val="13"/>
              </w:rPr>
            </w:pPr>
            <w:r>
              <w:rPr>
                <w:rFonts w:ascii="Montserrat;sans-serif" w:hAnsi="Montserrat;sans-serif"/>
                <w:color w:val="000000"/>
                <w:sz w:val="13"/>
              </w:rPr>
              <w:t>Involuntary or Constructive Termination</w:t>
            </w:r>
            <w:r>
              <w:rPr>
                <w:rFonts w:ascii="Montserrat;sans-serif" w:hAnsi="Montserrat;sans-serif"/>
                <w:color w:val="000000"/>
                <w:sz w:val="9"/>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800,000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29,942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829,942</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2962" w:type="dxa"/>
            <w:tcBorders>
              <w:bottom w:val="single" w:sz="4" w:space="0" w:color="7855FA"/>
            </w:tcBorders>
            <w:shd w:fill="FFFFFF" w:val="clear"/>
            <w:tcMar>
              <w:top w:w="0" w:type="dxa"/>
              <w:left w:w="0" w:type="dxa"/>
              <w:right w:w="0" w:type="dxa"/>
            </w:tcMar>
            <w:vAlign w:val="center"/>
          </w:tcPr>
          <w:p>
            <w:pPr>
              <w:pStyle w:val="TableContents"/>
              <w:bidi w:val="0"/>
              <w:spacing w:lineRule="auto" w:line="360" w:before="0" w:after="283"/>
              <w:ind w:left="80" w:right="0" w:firstLine="80"/>
              <w:jc w:val="left"/>
              <w:rPr>
                <w:rFonts w:ascii="Montserrat;sans-serif" w:hAnsi="Montserrat;sans-serif"/>
                <w:sz w:val="13"/>
              </w:rPr>
            </w:pPr>
            <w:r>
              <w:rPr>
                <w:rFonts w:ascii="Montserrat;sans-serif" w:hAnsi="Montserrat;sans-serif"/>
                <w:color w:val="000000"/>
                <w:sz w:val="13"/>
              </w:rPr>
              <w:t>Termination in connection with a Change in Control</w:t>
            </w:r>
            <w:r>
              <w:rPr>
                <w:rFonts w:ascii="Montserrat;sans-serif" w:hAnsi="Montserrat;sans-serif"/>
                <w:color w:val="000000"/>
                <w:sz w:val="9"/>
              </w:rPr>
              <w:t>(6)</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800,000</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800,000</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86,026,548</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29,942</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87,656,490</w:t>
            </w:r>
          </w:p>
        </w:tc>
        <w:tc>
          <w:tcPr>
            <w:tcW w:w="272"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296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80" w:right="0" w:firstLine="80"/>
              <w:jc w:val="left"/>
              <w:rPr>
                <w:rFonts w:ascii="Montserrat;Montserrat Medium;sans-serif" w:hAnsi="Montserrat;Montserrat Medium;sans-serif"/>
                <w:b/>
                <w:color w:val="000000"/>
                <w:sz w:val="13"/>
              </w:rPr>
            </w:pPr>
            <w:r>
              <w:rPr>
                <w:rFonts w:ascii="Montserrat;Montserrat Medium;sans-serif" w:hAnsi="Montserrat;Montserrat Medium;sans-serif"/>
                <w:b/>
                <w:color w:val="000000"/>
                <w:sz w:val="13"/>
              </w:rPr>
              <w:t>Rukmini Sivaraman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962"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ind w:left="80" w:right="0" w:firstLine="80"/>
              <w:jc w:val="left"/>
              <w:rPr>
                <w:rFonts w:ascii="Montserrat;sans-serif" w:hAnsi="Montserrat;sans-serif"/>
                <w:sz w:val="13"/>
              </w:rPr>
            </w:pPr>
            <w:r>
              <w:rPr>
                <w:rFonts w:ascii="Montserrat;sans-serif" w:hAnsi="Montserrat;sans-serif"/>
                <w:color w:val="000000"/>
                <w:sz w:val="13"/>
              </w:rPr>
              <w:t>Involuntary or Constructive Termination</w:t>
            </w:r>
            <w:r>
              <w:rPr>
                <w:rFonts w:ascii="Montserrat;sans-serif" w:hAnsi="Montserrat;sans-serif"/>
                <w:color w:val="000000"/>
                <w:sz w:val="9"/>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520,000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38,307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558,307</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2962" w:type="dxa"/>
            <w:tcBorders>
              <w:bottom w:val="single" w:sz="4" w:space="0" w:color="7855FA"/>
            </w:tcBorders>
            <w:shd w:fill="FFFFFF" w:val="clear"/>
            <w:tcMar>
              <w:top w:w="0" w:type="dxa"/>
              <w:left w:w="0" w:type="dxa"/>
              <w:right w:w="0" w:type="dxa"/>
            </w:tcMar>
            <w:vAlign w:val="center"/>
          </w:tcPr>
          <w:p>
            <w:pPr>
              <w:pStyle w:val="TableContents"/>
              <w:bidi w:val="0"/>
              <w:spacing w:lineRule="auto" w:line="360" w:before="0" w:after="283"/>
              <w:ind w:left="80" w:right="0" w:firstLine="80"/>
              <w:jc w:val="left"/>
              <w:rPr>
                <w:rFonts w:ascii="Montserrat;sans-serif" w:hAnsi="Montserrat;sans-serif"/>
                <w:sz w:val="13"/>
              </w:rPr>
            </w:pPr>
            <w:r>
              <w:rPr>
                <w:rFonts w:ascii="Montserrat;sans-serif" w:hAnsi="Montserrat;sans-serif"/>
                <w:color w:val="000000"/>
                <w:sz w:val="13"/>
              </w:rPr>
              <w:t>Termination in connection with a Change in Control</w:t>
            </w:r>
            <w:r>
              <w:rPr>
                <w:rFonts w:ascii="Montserrat;sans-serif" w:hAnsi="Montserrat;sans-serif"/>
                <w:color w:val="000000"/>
                <w:sz w:val="9"/>
              </w:rPr>
              <w:t>(6)</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520,000</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520,000</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17,679,515</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38,307</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18,757,822</w:t>
            </w:r>
          </w:p>
        </w:tc>
        <w:tc>
          <w:tcPr>
            <w:tcW w:w="272"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296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80" w:right="0" w:firstLine="80"/>
              <w:jc w:val="left"/>
              <w:rPr>
                <w:rFonts w:ascii="Montserrat;Montserrat Medium;sans-serif" w:hAnsi="Montserrat;Montserrat Medium;sans-serif"/>
                <w:b/>
                <w:color w:val="000000"/>
                <w:sz w:val="13"/>
              </w:rPr>
            </w:pPr>
            <w:r>
              <w:rPr>
                <w:rFonts w:ascii="Montserrat;Montserrat Medium;sans-serif" w:hAnsi="Montserrat;Montserrat Medium;sans-serif"/>
                <w:b/>
                <w:color w:val="000000"/>
                <w:sz w:val="13"/>
              </w:rPr>
              <w:t>Brian Martin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962"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ind w:left="80" w:right="0" w:firstLine="80"/>
              <w:jc w:val="left"/>
              <w:rPr>
                <w:rFonts w:ascii="Montserrat;sans-serif" w:hAnsi="Montserrat;sans-serif"/>
                <w:sz w:val="13"/>
              </w:rPr>
            </w:pPr>
            <w:r>
              <w:rPr>
                <w:rFonts w:ascii="Montserrat;sans-serif" w:hAnsi="Montserrat;sans-serif"/>
                <w:color w:val="000000"/>
                <w:sz w:val="13"/>
              </w:rPr>
              <w:t>Involuntary or Constructive Termination</w:t>
            </w:r>
            <w:r>
              <w:rPr>
                <w:rFonts w:ascii="Montserrat;sans-serif" w:hAnsi="Montserrat;sans-serif"/>
                <w:color w:val="000000"/>
                <w:sz w:val="9"/>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475,000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38,650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513,650</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2962" w:type="dxa"/>
            <w:tcBorders>
              <w:bottom w:val="single" w:sz="4" w:space="0" w:color="7855FA"/>
            </w:tcBorders>
            <w:shd w:fill="FFFFFF" w:val="clear"/>
            <w:tcMar>
              <w:top w:w="0" w:type="dxa"/>
              <w:left w:w="0" w:type="dxa"/>
              <w:right w:w="0" w:type="dxa"/>
            </w:tcMar>
            <w:vAlign w:val="center"/>
          </w:tcPr>
          <w:p>
            <w:pPr>
              <w:pStyle w:val="TableContents"/>
              <w:bidi w:val="0"/>
              <w:spacing w:lineRule="auto" w:line="360" w:before="0" w:after="283"/>
              <w:ind w:left="80" w:right="0" w:firstLine="80"/>
              <w:jc w:val="left"/>
              <w:rPr>
                <w:rFonts w:ascii="Montserrat;sans-serif" w:hAnsi="Montserrat;sans-serif"/>
                <w:sz w:val="13"/>
              </w:rPr>
            </w:pPr>
            <w:r>
              <w:rPr>
                <w:rFonts w:ascii="Montserrat;sans-serif" w:hAnsi="Montserrat;sans-serif"/>
                <w:color w:val="000000"/>
                <w:sz w:val="13"/>
              </w:rPr>
              <w:t>Termination in connection with a Change in Control</w:t>
            </w:r>
            <w:r>
              <w:rPr>
                <w:rFonts w:ascii="Montserrat;sans-serif" w:hAnsi="Montserrat;sans-serif"/>
                <w:color w:val="000000"/>
                <w:sz w:val="9"/>
              </w:rPr>
              <w:t>(6)</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475,000</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356,250</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7,378,433</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38,650</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8,248,333</w:t>
            </w:r>
          </w:p>
        </w:tc>
        <w:tc>
          <w:tcPr>
            <w:tcW w:w="272"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2962"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ind w:left="80" w:right="0" w:firstLine="80"/>
              <w:jc w:val="left"/>
              <w:rPr>
                <w:rFonts w:ascii="Montserrat Medium;sans-serif" w:hAnsi="Montserrat Medium;sans-serif"/>
                <w:sz w:val="13"/>
              </w:rPr>
            </w:pPr>
            <w:r>
              <w:rPr>
                <w:rFonts w:ascii="Montserrat;Montserrat Medium;sans-serif" w:hAnsi="Montserrat;Montserrat Medium;sans-serif"/>
                <w:b/>
                <w:color w:val="000000"/>
                <w:sz w:val="13"/>
              </w:rPr>
              <w:t>Tarkan Maner</w:t>
            </w:r>
            <w:r>
              <w:rPr>
                <w:rFonts w:ascii="Montserrat Medium;sans-serif" w:hAnsi="Montserrat Medium;sans-serif"/>
                <w:color w:val="000000"/>
                <w:sz w:val="13"/>
              </w:rPr>
              <w:t> </w:t>
            </w:r>
            <w:r>
              <w:rPr>
                <w:rFonts w:ascii="Montserrat;Montserrat Medium;sans-serif" w:hAnsi="Montserrat;Montserrat Medium;sans-serif"/>
                <w:b/>
                <w:color w:val="000000"/>
                <w:sz w:val="9"/>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2962"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ind w:left="80" w:right="0" w:firstLine="80"/>
              <w:jc w:val="left"/>
              <w:rPr>
                <w:rFonts w:ascii="Montserrat;sans-serif" w:hAnsi="Montserrat;sans-serif"/>
                <w:sz w:val="13"/>
              </w:rPr>
            </w:pPr>
            <w:r>
              <w:rPr>
                <w:rFonts w:ascii="Montserrat;sans-serif" w:hAnsi="Montserrat;sans-serif"/>
                <w:color w:val="000000"/>
                <w:sz w:val="13"/>
              </w:rPr>
              <w:t>Involuntary or Constructive Termination</w:t>
            </w:r>
            <w:r>
              <w:rPr>
                <w:rFonts w:ascii="Montserrat;sans-serif" w:hAnsi="Montserrat;sans-serif"/>
                <w:color w:val="000000"/>
                <w:sz w:val="9"/>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450,000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38,307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488,307</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2962" w:type="dxa"/>
            <w:tcBorders>
              <w:bottom w:val="single" w:sz="4" w:space="0" w:color="7855FA"/>
            </w:tcBorders>
            <w:shd w:fill="FFFFFF" w:val="clear"/>
            <w:tcMar>
              <w:top w:w="0" w:type="dxa"/>
              <w:left w:w="0" w:type="dxa"/>
              <w:right w:w="0" w:type="dxa"/>
            </w:tcMar>
            <w:vAlign w:val="center"/>
          </w:tcPr>
          <w:p>
            <w:pPr>
              <w:pStyle w:val="TableContents"/>
              <w:bidi w:val="0"/>
              <w:spacing w:lineRule="auto" w:line="360" w:before="0" w:after="283"/>
              <w:ind w:left="80" w:right="0" w:firstLine="80"/>
              <w:jc w:val="left"/>
              <w:rPr>
                <w:rFonts w:ascii="Montserrat;sans-serif" w:hAnsi="Montserrat;sans-serif"/>
                <w:sz w:val="13"/>
              </w:rPr>
            </w:pPr>
            <w:r>
              <w:rPr>
                <w:rFonts w:ascii="Montserrat;sans-serif" w:hAnsi="Montserrat;sans-serif"/>
                <w:color w:val="000000"/>
                <w:sz w:val="13"/>
              </w:rPr>
              <w:t>Termination in connection with a Change in Control</w:t>
            </w:r>
            <w:r>
              <w:rPr>
                <w:rFonts w:ascii="Montserrat;sans-serif" w:hAnsi="Montserrat;sans-serif"/>
                <w:color w:val="000000"/>
                <w:sz w:val="9"/>
              </w:rPr>
              <w:t>(6)</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450,000</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337,500</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9,997,297</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38,307</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3"/>
              </w:rPr>
            </w:pPr>
            <w:r>
              <w:rPr>
                <w:rFonts w:ascii="Montserrat;sans-serif" w:hAnsi="Montserrat;sans-serif"/>
                <w:color w:val="000000"/>
                <w:sz w:val="13"/>
              </w:rPr>
              <w:t>10,823,104</w:t>
            </w:r>
          </w:p>
        </w:tc>
        <w:tc>
          <w:tcPr>
            <w:tcW w:w="272"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Montserrat;sans-serif" w:hAnsi="Montserrat;sans-serif"/>
          <w:color w:val="000000"/>
          <w:sz w:val="16"/>
        </w:rPr>
      </w:pPr>
      <w:r>
        <w:rPr>
          <w:rFonts w:ascii="Montserrat;sans-serif" w:hAnsi="Montserrat;sans-serif"/>
          <w:color w:val="000000"/>
          <w:sz w:val="16"/>
        </w:rPr>
        <w:t>(1)</w:t>
      </w:r>
    </w:p>
    <w:p>
      <w:pPr>
        <w:pStyle w:val="TextBody"/>
        <w:bidi w:val="0"/>
        <w:spacing w:before="0" w:after="0"/>
        <w:jc w:val="both"/>
        <w:rPr>
          <w:rFonts w:ascii="Montserrat;sans-serif" w:hAnsi="Montserrat;sans-serif"/>
          <w:color w:val="000000"/>
          <w:sz w:val="16"/>
        </w:rPr>
      </w:pPr>
      <w:r>
        <w:rPr>
          <w:rFonts w:ascii="Montserrat;sans-serif" w:hAnsi="Montserrat;sans-serif"/>
          <w:color w:val="000000"/>
          <w:sz w:val="16"/>
        </w:rPr>
        <w:t>The amounts reported in this column reflect a lump-sum payment equal to 100% of the NEO’s annual base salary as of July 31, 2026 under our Executive Severance Policy and a lump-sum payment equal to 100% of the NEO’s annual base salary as of July 31, 2026 under our Change of Control and Severance Policy.</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(2)</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The amounts reported in this column reflect a lump-sum payment equal to 100% of the NEO’s annual incentive target for fiscal year 2026 under our Change of Control and Severance Policy.</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(3)</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The amounts reported in this column reflect RSU and PRSU payment values based upon the closing price of our Class A common stock of $59.01 as reported on the Nasdaq Global Select Market on July 31, 2026. Reported values for PRSUs are based on our TSR ranking relative to the companies in the Nasdaq Composite Index reflecting a final payout factor of 200.0% for the awards granted August 29, 2023, and interim performance factors of 143.6% and 81.7% for awards granted on September 10, 2024 and November 10, 2025, respectively, minus the PRSUs earned in prior interim performance periods. For Mr. Ramaswami’s supplemental long-term performance-based equity award, the value reported assumes achievement at 100% of target.</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(4)</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The amounts reported in this column reflect the cost of COBRA continuation coverage based on elected level of healthcare coverage (medical, dental and vision) for twelve months under our Executive Severance Policy and for twelve months under our Change of Control and Severance Policy.</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(5)</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Termination by Nutanix (other than for cause, death, or disability) or termination by officer on account of Constructive Termination.</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(6)</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Termination by Nutanix (other than for cause, death, or disability) or termination by officer for good reason in connection with a change in control.</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(7)</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 xml:space="preserve">Mr. Maner stepped down as President and Chief Commercial Officer in October 2026. </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301"/>
        <w:gridCol w:w="2671"/>
      </w:tblGrid>
      <w:tr>
        <w:trPr/>
        <w:tc>
          <w:tcPr>
            <w:tcW w:w="30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66</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213"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204" descr=""/>
                          <pic:cNvPicPr>
                            <a:picLocks noChangeAspect="1" noChangeArrowheads="1"/>
                          </pic:cNvPicPr>
                        </pic:nvPicPr>
                        <pic:blipFill>
                          <a:blip r:embed="rId206"/>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rFonts w:ascii="Montserrat;sans-serif" w:hAnsi="Montserrat;sans-serif"/>
          <w:color w:val="000000"/>
          <w:sz w:val="13"/>
        </w:rPr>
      </w:pPr>
      <w:r>
        <w:rPr>
          <w:rFonts w:ascii="Montserrat;sans-serif" w:hAnsi="Montserrat;sans-serif"/>
          <w:color w:val="000000"/>
          <w:sz w:val="13"/>
        </w:rPr>
        <w:t>Executive Compensation</w:t>
      </w:r>
    </w:p>
    <w:p>
      <w:pPr>
        <w:pStyle w:val="TextBody"/>
        <w:bidi w:val="0"/>
        <w:spacing w:before="60" w:after="283"/>
        <w:jc w:val="right"/>
        <w:rPr>
          <w:rFonts w:ascii="Montserrat;sans-serif" w:hAnsi="Montserrat;sans-serif"/>
          <w:color w:val="000000"/>
          <w:sz w:val="12"/>
        </w:rPr>
      </w:pPr>
      <w:r>
        <w:rPr>
          <w:rFonts w:ascii="Montserrat;sans-serif" w:hAnsi="Montserrat;sans-serif"/>
          <w:color w:val="000000"/>
          <w:sz w:val="12"/>
        </w:rPr>
        <w:t>CEO Pay Ratio</w:t>
      </w:r>
    </w:p>
    <w:p>
      <w:pPr>
        <w:pStyle w:val="TextBody"/>
        <w:bidi w:val="0"/>
        <w:jc w:val="right"/>
        <w:rPr/>
      </w:pPr>
      <w:r>
        <w:rPr/>
        <w:t> </w:t>
      </w:r>
    </w:p>
    <w:p>
      <w:pPr>
        <w:pStyle w:val="TextBody"/>
        <w:bidi w:val="0"/>
        <w:jc w:val="right"/>
        <w:rPr/>
      </w:pPr>
      <w:r>
        <w:rPr/>
        <w:t> </w:t>
      </w:r>
    </w:p>
    <w:p>
      <w:pPr>
        <w:pStyle w:val="Heading2"/>
        <w:bidi w:val="0"/>
        <w:jc w:val="left"/>
        <w:rPr>
          <w:rFonts w:ascii="Montserrat;sans-serif" w:hAnsi="Montserrat;sans-serif"/>
          <w:color w:val="7855FA"/>
          <w:sz w:val="28"/>
        </w:rPr>
      </w:pPr>
      <w:bookmarkStart w:id="23" w:name="ceo_pay_ratio"/>
      <w:bookmarkEnd w:id="23"/>
      <w:r>
        <w:rPr>
          <w:rFonts w:ascii="Montserrat;sans-serif" w:hAnsi="Montserrat;sans-serif"/>
          <w:color w:val="7855FA"/>
          <w:sz w:val="28"/>
        </w:rPr>
        <w:t>CEO Pay Ratio</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In accordance with Item 402(u) of Regulation S-K, promulgated under the Dodd-Frank Wall Street Reform and Consumer Protection Act of 2010, we are providing (i) the ratio of the annual total compensation of our CEO, Rajiv Ramaswami, to (ii) the annual total compensation of our median employee, both calculated in accordance with the requirements of Item 402(c)(2)(x) of Regulation S-K.</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For fiscal year 2026:</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annual total compensation of our CEO was $29,485,213;</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annual total compensation of our median employee was $146,606; and</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ratio of the annual total compensation of our CEO to the annual total compensation of our median employee was 201:1.</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We believe this ratio is a reasonable estimate calculated in a manner consistent with Item 402(u) of Regulation S-K under the Exchange Act.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 xml:space="preserve">As permitted by SEC rules, we used the same median employee for fiscal years 2025 and 2026 because there were no changes in our employee population or compensation arrangements that we reasonably believe would significantly affect our pay ratio disclosure. </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 xml:space="preserve">When identifying the median employee for fiscal year 2025, we selected July 31, 2025 as the date for establishing the employee population used in identifying the median employee. In determining this population, we include all worldwide full-time and part-time employees other than our CEO. We do not include any contractors in our employee population. As permitted by SEC rules, to identify our median employee, we use total target cash compensation plus the grant date fair value of equity awards, if any, as our consistently applied compensation measure, which we refer to herein as total target compensation and calculated as (i) base salary and target annual incentive as of July 31, and (ii) the grant date fair value of equity awards issued during the fiscal year. For employees paid in a currency other than U.S. dollars, we convert their compensation to U.S. dollars using the exchange rates used by us for various financial and accounting purposes in effect on July 31. We then calculate the annual total compensation of our selected median employee. </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SEC rules for identifying the median employee and calculating the pay ratio based on that employee’s annual total compensation allow companies to adopt a variety of methodologies, to apply certain exclusions, and to make reasonable estimates and assumptions that reflect their compensation practices. Consequently, the pay ratio reported by other companies may not be comparable to the pay ratio reported by us, as other companies may have different employment and compensation practices and may utilize different methodologies, exclusions, estimates, and assumptions in calculating their own pay ratios.</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2641"/>
        <w:gridCol w:w="331"/>
      </w:tblGrid>
      <w:tr>
        <w:trPr/>
        <w:tc>
          <w:tcPr>
            <w:tcW w:w="26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214"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205" descr=""/>
                          <pic:cNvPicPr>
                            <a:picLocks noChangeAspect="1" noChangeArrowheads="1"/>
                          </pic:cNvPicPr>
                        </pic:nvPicPr>
                        <pic:blipFill>
                          <a:blip r:embed="rId207"/>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3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67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rFonts w:ascii="Montserrat;sans-serif" w:hAnsi="Montserrat;sans-serif"/>
          <w:color w:val="000000"/>
          <w:sz w:val="13"/>
        </w:rPr>
      </w:pPr>
      <w:r>
        <w:rPr>
          <w:rFonts w:ascii="Montserrat;sans-serif" w:hAnsi="Montserrat;sans-serif"/>
          <w:color w:val="000000"/>
          <w:sz w:val="13"/>
        </w:rPr>
        <w:t>Executive Compensation</w:t>
      </w:r>
    </w:p>
    <w:p>
      <w:pPr>
        <w:pStyle w:val="TextBody"/>
        <w:bidi w:val="0"/>
        <w:spacing w:before="60" w:after="283"/>
        <w:jc w:val="left"/>
        <w:rPr>
          <w:rFonts w:ascii="Montserrat;sans-serif" w:hAnsi="Montserrat;sans-serif"/>
          <w:color w:val="000000"/>
          <w:sz w:val="12"/>
        </w:rPr>
      </w:pPr>
      <w:r>
        <w:rPr>
          <w:rFonts w:ascii="Montserrat;sans-serif" w:hAnsi="Montserrat;sans-serif"/>
          <w:color w:val="000000"/>
          <w:sz w:val="12"/>
        </w:rPr>
        <w:t>Pay versus Performance</w:t>
      </w:r>
    </w:p>
    <w:p>
      <w:pPr>
        <w:pStyle w:val="TextBody"/>
        <w:bidi w:val="0"/>
        <w:jc w:val="left"/>
        <w:rPr/>
      </w:pPr>
      <w:r>
        <w:rPr/>
        <w:t> </w:t>
      </w:r>
    </w:p>
    <w:p>
      <w:pPr>
        <w:pStyle w:val="TextBody"/>
        <w:bidi w:val="0"/>
        <w:jc w:val="left"/>
        <w:rPr/>
      </w:pPr>
      <w:r>
        <w:rPr/>
        <w:t> </w:t>
      </w:r>
    </w:p>
    <w:p>
      <w:pPr>
        <w:pStyle w:val="Heading2"/>
        <w:bidi w:val="0"/>
        <w:jc w:val="left"/>
        <w:rPr>
          <w:rFonts w:ascii="Montserrat;sans-serif" w:hAnsi="Montserrat;sans-serif"/>
          <w:color w:val="7855FA"/>
          <w:sz w:val="28"/>
        </w:rPr>
      </w:pPr>
      <w:bookmarkStart w:id="24" w:name="pay_versus_performance"/>
      <w:bookmarkEnd w:id="24"/>
      <w:r>
        <w:rPr>
          <w:rFonts w:ascii="Montserrat;sans-serif" w:hAnsi="Montserrat;sans-serif"/>
          <w:color w:val="7855FA"/>
          <w:sz w:val="28"/>
        </w:rPr>
        <w:t>Pay Versus Performance</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 xml:space="preserve">In accordance with Item 402(v) of Regulation S-K, below is a comparison of compensation actually paid (“CAP”) and certain measures of financial performance. For further information concerning our compensation philosophy and how we align executive compensation with performance, refer to the </w:t>
      </w:r>
      <w:r>
        <w:rPr>
          <w:rFonts w:ascii="Montserrat;sans-serif" w:hAnsi="Montserrat;sans-serif"/>
          <w:color w:val="594DFF"/>
          <w:sz w:val="18"/>
        </w:rPr>
        <w:t>“</w:t>
      </w:r>
      <w:r>
        <w:rPr>
          <w:rFonts w:ascii="Montserrat;sans-serif" w:hAnsi="Montserrat;sans-serif"/>
          <w:color w:val="7855FA"/>
          <w:sz w:val="18"/>
        </w:rPr>
        <w:t>Executive Compensation – Compensation Discussion and Analysis</w:t>
      </w:r>
      <w:r>
        <w:rPr>
          <w:rFonts w:ascii="Montserrat;sans-serif" w:hAnsi="Montserrat;sans-serif"/>
          <w:color w:val="594DFF"/>
          <w:sz w:val="18"/>
        </w:rPr>
        <w:t>”</w:t>
      </w:r>
      <w:r>
        <w:rPr>
          <w:rFonts w:ascii="Montserrat;sans-serif" w:hAnsi="Montserrat;sans-serif"/>
          <w:color w:val="6C60A5"/>
          <w:sz w:val="18"/>
        </w:rPr>
        <w:t xml:space="preserve"> </w:t>
      </w:r>
      <w:r>
        <w:rPr>
          <w:rFonts w:ascii="Montserrat;sans-serif" w:hAnsi="Montserrat;sans-serif"/>
          <w:color w:val="000000"/>
          <w:sz w:val="18"/>
        </w:rPr>
        <w:t>section.</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41"/>
        <w:gridCol w:w="146"/>
        <w:gridCol w:w="796"/>
        <w:gridCol w:w="146"/>
        <w:gridCol w:w="146"/>
        <w:gridCol w:w="146"/>
        <w:gridCol w:w="841"/>
        <w:gridCol w:w="151"/>
        <w:gridCol w:w="146"/>
        <w:gridCol w:w="146"/>
        <w:gridCol w:w="721"/>
        <w:gridCol w:w="146"/>
        <w:gridCol w:w="146"/>
        <w:gridCol w:w="146"/>
        <w:gridCol w:w="796"/>
        <w:gridCol w:w="151"/>
        <w:gridCol w:w="284"/>
        <w:gridCol w:w="647"/>
        <w:gridCol w:w="186"/>
        <w:gridCol w:w="186"/>
        <w:gridCol w:w="284"/>
        <w:gridCol w:w="647"/>
        <w:gridCol w:w="146"/>
        <w:gridCol w:w="170"/>
        <w:gridCol w:w="842"/>
        <w:gridCol w:w="151"/>
        <w:gridCol w:w="146"/>
        <w:gridCol w:w="170"/>
        <w:gridCol w:w="842"/>
        <w:gridCol w:w="193"/>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7855FA"/>
                <w:sz w:val="12"/>
              </w:rPr>
            </w:pPr>
            <w:r>
              <w:rPr>
                <w:rFonts w:ascii="Montserrat;sans-serif" w:hAnsi="Montserrat;sans-serif"/>
                <w:b/>
                <w:color w:val="7855FA"/>
                <w:sz w:val="12"/>
              </w:rPr>
              <w:t>Value of Initial Fixed $100</w:t>
              <w:br/>
              <w:t>Investment Based 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4" w:type="dxa"/>
            <w:gridSpan w:val="6"/>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7855FA"/>
                <w:sz w:val="12"/>
              </w:rPr>
            </w:pPr>
            <w:r>
              <w:rPr>
                <w:rFonts w:ascii="Montserrat;sans-serif" w:hAnsi="Montserrat;sans-serif"/>
                <w:b/>
                <w:color w:val="7855FA"/>
                <w:sz w:val="12"/>
              </w:rPr>
              <w:t>Fiscal</w:t>
              <w:br/>
              <w:t>Year</w:t>
              <w:br/>
              <w:t>(a)</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360" w:before="0" w:after="283"/>
              <w:jc w:val="right"/>
              <w:rPr>
                <w:rFonts w:ascii="Montserrat;sans-serif" w:hAnsi="Montserrat;sans-serif"/>
                <w:sz w:val="12"/>
              </w:rPr>
            </w:pPr>
            <w:r>
              <w:rPr>
                <w:rFonts w:ascii="Montserrat;sans-serif" w:hAnsi="Montserrat;sans-serif"/>
                <w:b/>
                <w:color w:val="7855FA"/>
                <w:sz w:val="12"/>
              </w:rPr>
              <w:t>SCT Total</w:t>
              <w:br/>
              <w:t>for</w:t>
              <w:br/>
              <w:t>PEO</w:t>
            </w:r>
            <w:r>
              <w:rPr>
                <w:rFonts w:ascii="Montserrat;sans-serif" w:hAnsi="Montserrat;sans-serif"/>
                <w:b/>
                <w:color w:val="7855FA"/>
                <w:sz w:val="8"/>
              </w:rPr>
              <w:t>(1)</w:t>
              <w:br/>
            </w:r>
            <w:r>
              <w:rPr>
                <w:rFonts w:ascii="Montserrat;sans-serif" w:hAnsi="Montserrat;sans-serif"/>
                <w:b/>
                <w:color w:val="7855FA"/>
                <w:sz w:val="12"/>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360" w:before="0" w:after="283"/>
              <w:jc w:val="right"/>
              <w:rPr>
                <w:rFonts w:ascii="Montserrat;sans-serif" w:hAnsi="Montserrat;sans-serif"/>
                <w:sz w:val="12"/>
              </w:rPr>
            </w:pPr>
            <w:r>
              <w:rPr>
                <w:rFonts w:ascii="Montserrat;sans-serif" w:hAnsi="Montserrat;sans-serif"/>
                <w:b/>
                <w:color w:val="7855FA"/>
                <w:sz w:val="12"/>
              </w:rPr>
              <w:t>CAP for</w:t>
              <w:br/>
              <w:t>PEO</w:t>
            </w:r>
            <w:r>
              <w:rPr>
                <w:rFonts w:ascii="Montserrat;sans-serif" w:hAnsi="Montserrat;sans-serif"/>
                <w:b/>
                <w:color w:val="7855FA"/>
                <w:sz w:val="8"/>
              </w:rPr>
              <w:t>(2,6)</w:t>
              <w:br/>
            </w:r>
            <w:r>
              <w:rPr>
                <w:rFonts w:ascii="Montserrat;sans-serif" w:hAnsi="Montserrat;sans-serif"/>
                <w:b/>
                <w:color w:val="7855FA"/>
                <w:sz w:val="12"/>
              </w:rPr>
              <w:t>(c)($)</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360" w:before="0" w:after="283"/>
              <w:jc w:val="right"/>
              <w:rPr>
                <w:rFonts w:ascii="Montserrat;sans-serif" w:hAnsi="Montserrat;sans-serif"/>
                <w:sz w:val="12"/>
              </w:rPr>
            </w:pPr>
            <w:r>
              <w:rPr>
                <w:rFonts w:ascii="Montserrat;sans-serif" w:hAnsi="Montserrat;sans-serif"/>
                <w:b/>
                <w:color w:val="7855FA"/>
                <w:sz w:val="12"/>
              </w:rPr>
              <w:t>Avg. SCT</w:t>
              <w:br/>
              <w:t>Total for</w:t>
              <w:br/>
              <w:t>Non-PEO</w:t>
              <w:br/>
              <w:t>NEOs</w:t>
            </w:r>
            <w:r>
              <w:rPr>
                <w:rFonts w:ascii="Montserrat;sans-serif" w:hAnsi="Montserrat;sans-serif"/>
                <w:b/>
                <w:color w:val="7855FA"/>
                <w:sz w:val="8"/>
              </w:rPr>
              <w:t>(1)</w:t>
            </w:r>
            <w:r>
              <w:rPr>
                <w:rFonts w:ascii="Montserrat;sans-serif" w:hAnsi="Montserrat;sans-serif"/>
                <w:b/>
                <w:color w:val="7855FA"/>
                <w:sz w:val="12"/>
              </w:rPr>
              <w:br/>
              <w: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360" w:before="0" w:after="283"/>
              <w:jc w:val="right"/>
              <w:rPr>
                <w:rFonts w:ascii="Montserrat;sans-serif" w:hAnsi="Montserrat;sans-serif"/>
                <w:sz w:val="12"/>
              </w:rPr>
            </w:pPr>
            <w:r>
              <w:rPr>
                <w:rFonts w:ascii="Montserrat;sans-serif" w:hAnsi="Montserrat;sans-serif"/>
                <w:b/>
                <w:color w:val="7855FA"/>
                <w:sz w:val="12"/>
              </w:rPr>
              <w:t>Avg.</w:t>
              <w:br/>
              <w:t>CAP for</w:t>
              <w:br/>
              <w:t>Non-PEO</w:t>
              <w:br/>
              <w:t>NEOs</w:t>
            </w:r>
            <w:r>
              <w:rPr>
                <w:rFonts w:ascii="Montserrat;sans-serif" w:hAnsi="Montserrat;sans-serif"/>
                <w:b/>
                <w:color w:val="7855FA"/>
                <w:sz w:val="8"/>
              </w:rPr>
              <w:t>(6)</w:t>
              <w:br/>
            </w:r>
            <w:r>
              <w:rPr>
                <w:rFonts w:ascii="Montserrat;sans-serif" w:hAnsi="Montserrat;sans-serif"/>
                <w:b/>
                <w:color w:val="7855FA"/>
                <w:sz w:val="12"/>
              </w:rPr>
              <w:t>(e)($)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360" w:before="0" w:after="283"/>
              <w:jc w:val="right"/>
              <w:rPr>
                <w:rFonts w:ascii="Montserrat;sans-serif" w:hAnsi="Montserrat;sans-serif"/>
                <w:sz w:val="12"/>
              </w:rPr>
            </w:pPr>
            <w:r>
              <w:rPr>
                <w:rFonts w:ascii="Montserrat;sans-serif" w:hAnsi="Montserrat;sans-serif"/>
                <w:b/>
                <w:color w:val="7855FA"/>
                <w:sz w:val="12"/>
              </w:rPr>
              <w:t>Total</w:t>
              <w:br/>
              <w:t>Shareholder</w:t>
              <w:br/>
              <w:t>Return</w:t>
            </w:r>
            <w:r>
              <w:rPr>
                <w:rFonts w:ascii="Montserrat;sans-serif" w:hAnsi="Montserrat;sans-serif"/>
                <w:b/>
                <w:color w:val="7855FA"/>
                <w:sz w:val="8"/>
              </w:rPr>
              <w:t>(3)</w:t>
              <w:br/>
            </w:r>
            <w:r>
              <w:rPr>
                <w:rFonts w:ascii="Montserrat;sans-serif" w:hAnsi="Montserrat;sans-serif"/>
                <w:b/>
                <w:color w:val="7855FA"/>
                <w:sz w:val="12"/>
              </w:rPr>
              <w:t>(f)($)</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360" w:before="0" w:after="283"/>
              <w:jc w:val="right"/>
              <w:rPr>
                <w:rFonts w:ascii="Montserrat;sans-serif" w:hAnsi="Montserrat;sans-serif"/>
                <w:sz w:val="12"/>
              </w:rPr>
            </w:pPr>
            <w:r>
              <w:rPr>
                <w:rFonts w:ascii="Montserrat;sans-serif" w:hAnsi="Montserrat;sans-serif"/>
                <w:b/>
                <w:color w:val="7855FA"/>
                <w:sz w:val="12"/>
              </w:rPr>
              <w:t>Peer Group</w:t>
              <w:br/>
              <w:t>Total</w:t>
              <w:br/>
              <w:t>Shareholder</w:t>
              <w:br/>
              <w:t>Return</w:t>
            </w:r>
            <w:r>
              <w:rPr>
                <w:rFonts w:ascii="Montserrat;sans-serif" w:hAnsi="Montserrat;sans-serif"/>
                <w:b/>
                <w:color w:val="7855FA"/>
                <w:sz w:val="8"/>
              </w:rPr>
              <w:t>(3)</w:t>
              <w:br/>
            </w:r>
            <w:r>
              <w:rPr>
                <w:rFonts w:ascii="Montserrat;sans-serif" w:hAnsi="Montserrat;sans-serif"/>
                <w:b/>
                <w:color w:val="7855FA"/>
                <w:sz w:val="12"/>
              </w:rPr>
              <w:t>(g)($)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360" w:before="0" w:after="283"/>
              <w:jc w:val="right"/>
              <w:rPr>
                <w:rFonts w:ascii="Montserrat;sans-serif" w:hAnsi="Montserrat;sans-serif"/>
                <w:sz w:val="12"/>
              </w:rPr>
            </w:pPr>
            <w:r>
              <w:rPr>
                <w:rFonts w:ascii="Montserrat;sans-serif" w:hAnsi="Montserrat;sans-serif"/>
                <w:b/>
                <w:color w:val="7855FA"/>
                <w:sz w:val="12"/>
              </w:rPr>
              <w:t>Net Income</w:t>
              <w:br/>
              <w:t>(Loss)</w:t>
            </w:r>
            <w:r>
              <w:rPr>
                <w:rFonts w:ascii="Montserrat;sans-serif" w:hAnsi="Montserrat;sans-serif"/>
                <w:b/>
                <w:color w:val="7855FA"/>
                <w:sz w:val="8"/>
              </w:rPr>
              <w:t>(4)</w:t>
              <w:br/>
            </w:r>
            <w:r>
              <w:rPr>
                <w:rFonts w:ascii="Montserrat;sans-serif" w:hAnsi="Montserrat;sans-serif"/>
                <w:b/>
                <w:color w:val="7855FA"/>
                <w:sz w:val="12"/>
              </w:rPr>
              <w:t>(in thousands)</w:t>
              <w:br/>
              <w:t>(h)($)</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360" w:before="0" w:after="283"/>
              <w:jc w:val="right"/>
              <w:rPr>
                <w:rFonts w:ascii="Montserrat;sans-serif" w:hAnsi="Montserrat;sans-serif"/>
                <w:sz w:val="12"/>
              </w:rPr>
            </w:pPr>
            <w:r>
              <w:rPr>
                <w:rFonts w:ascii="Montserrat;sans-serif" w:hAnsi="Montserrat;sans-serif"/>
                <w:b/>
                <w:color w:val="7855FA"/>
                <w:sz w:val="12"/>
              </w:rPr>
              <w:t>Company</w:t>
              <w:br/>
              <w:t>Selected</w:t>
              <w:br/>
              <w:t>Measure:</w:t>
              <w:br/>
              <w:t>Annual</w:t>
              <w:br/>
              <w:t>Recurring</w:t>
              <w:br/>
              <w:t>Revenue</w:t>
            </w:r>
            <w:r>
              <w:rPr>
                <w:rFonts w:ascii="Montserrat;sans-serif" w:hAnsi="Montserrat;sans-serif"/>
                <w:b/>
                <w:color w:val="7855FA"/>
                <w:sz w:val="8"/>
              </w:rPr>
              <w:t>(5)</w:t>
              <w:br/>
            </w:r>
            <w:r>
              <w:rPr>
                <w:rFonts w:ascii="Montserrat;sans-serif" w:hAnsi="Montserrat;sans-serif"/>
                <w:b/>
                <w:color w:val="7855FA"/>
                <w:sz w:val="12"/>
              </w:rPr>
              <w:t>(in thousands)</w:t>
              <w:br/>
              <w:t>(i)($)</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987"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942"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931"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931"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012"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012"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93"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Montserrat;Montserrat Medium;sans-serif" w:hAnsi="Montserrat;Montserrat Medium;sans-serif"/>
                <w:b/>
                <w:color w:val="000000"/>
                <w:sz w:val="12"/>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29,485,213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(21,689,934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2"/>
              </w:rPr>
            </w:pPr>
            <w:r>
              <w:rPr>
                <w:rFonts w:ascii="Montserrat;sans-serif" w:hAnsi="Montserrat;sans-serif"/>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8,467,595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3,046,819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164</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243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1,506,837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2,548,797</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Montserrat;Montserrat Medium;sans-serif" w:hAnsi="Montserrat;Montserrat Medium;sans-serif"/>
                <w:b/>
                <w:color w:val="000000"/>
                <w:sz w:val="12"/>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22,569,085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73,382,443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4,564,564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4,685,324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209</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188,366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2,223,197</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Montserrat;Montserrat Medium;sans-serif" w:hAnsi="Montserrat;Montserrat Medium;sans-serif"/>
                <w:b/>
                <w:color w:val="000000"/>
                <w:sz w:val="12"/>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51,143,711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97,948,820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4,810,466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8,792,715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140</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(124,775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2"/>
              </w:rPr>
            </w:pPr>
            <w:r>
              <w:rPr>
                <w:rFonts w:ascii="Montserrat;sans-serif" w:hAnsi="Montserrat;sans-serif"/>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1,907,982</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Montserrat;Montserrat Medium;sans-serif" w:hAnsi="Montserrat;Montserrat Medium;sans-serif"/>
                <w:b/>
                <w:color w:val="000000"/>
                <w:sz w:val="12"/>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14,845,940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38,679,011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5,475,467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11,092,941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84</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(254,560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2"/>
              </w:rPr>
            </w:pPr>
            <w:r>
              <w:rPr>
                <w:rFonts w:ascii="Montserrat;sans-serif" w:hAnsi="Montserrat;sans-serif"/>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1,561,981</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Montserrat;Montserrat Medium;sans-serif" w:hAnsi="Montserrat;Montserrat Medium;sans-serif"/>
                <w:b/>
                <w:color w:val="000000"/>
                <w:sz w:val="12"/>
              </w:rPr>
              <w:t>2022</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12,928,676</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3,241,068</w:t>
            </w:r>
          </w:p>
        </w:tc>
        <w:tc>
          <w:tcPr>
            <w:tcW w:w="15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4,990,357</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(2,699,520</w:t>
            </w:r>
          </w:p>
        </w:tc>
        <w:tc>
          <w:tcPr>
            <w:tcW w:w="15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2"/>
              </w:rPr>
            </w:pPr>
            <w:r>
              <w:rPr>
                <w:rFonts w:ascii="Montserrat;sans-serif" w:hAnsi="Montserrat;sans-serif"/>
                <w:color w:val="000000"/>
                <w:sz w:val="12"/>
              </w:rPr>
              <w:t>)</w:t>
            </w:r>
          </w:p>
        </w:tc>
        <w:tc>
          <w:tcPr>
            <w:tcW w:w="284"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42</w:t>
            </w:r>
          </w:p>
        </w:tc>
        <w:tc>
          <w:tcPr>
            <w:tcW w:w="18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88</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(798,946</w:t>
            </w:r>
          </w:p>
        </w:tc>
        <w:tc>
          <w:tcPr>
            <w:tcW w:w="15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2"/>
              </w:rPr>
            </w:pPr>
            <w:r>
              <w:rPr>
                <w:rFonts w:ascii="Montserrat;sans-serif" w:hAnsi="Montserrat;sans-serif"/>
                <w:color w:val="000000"/>
                <w:sz w:val="12"/>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2"/>
              </w:rPr>
            </w:pPr>
            <w:r>
              <w:rPr>
                <w:rFonts w:ascii="Montserrat;sans-serif" w:hAnsi="Montserrat;sans-serif"/>
                <w:color w:val="000000"/>
                <w:sz w:val="12"/>
              </w:rPr>
              <w:t>1,202,438</w:t>
            </w:r>
          </w:p>
        </w:tc>
        <w:tc>
          <w:tcPr>
            <w:tcW w:w="193"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Montserrat;sans-serif" w:hAnsi="Montserrat;sans-serif"/>
          <w:color w:val="000000"/>
          <w:sz w:val="16"/>
        </w:rPr>
      </w:pPr>
      <w:r>
        <w:rPr>
          <w:rFonts w:ascii="Montserrat;sans-serif" w:hAnsi="Montserrat;sans-serif"/>
          <w:color w:val="000000"/>
          <w:sz w:val="16"/>
        </w:rPr>
        <w:t>(1)</w:t>
      </w:r>
    </w:p>
    <w:p>
      <w:pPr>
        <w:pStyle w:val="TextBody"/>
        <w:bidi w:val="0"/>
        <w:jc w:val="both"/>
        <w:rPr>
          <w:rFonts w:ascii="Montserrat;sans-serif" w:hAnsi="Montserrat;sans-serif"/>
          <w:sz w:val="16"/>
        </w:rPr>
      </w:pPr>
      <w:r>
        <w:rPr>
          <w:rFonts w:ascii="Montserrat;sans-serif" w:hAnsi="Montserrat;sans-serif"/>
          <w:color w:val="000000"/>
          <w:sz w:val="16"/>
        </w:rPr>
        <w:t>Total compensation as set forth in the “</w:t>
      </w:r>
      <w:r>
        <w:rPr>
          <w:rFonts w:ascii="Montserrat;sans-serif" w:hAnsi="Montserrat;sans-serif"/>
          <w:color w:val="7855FA"/>
          <w:sz w:val="16"/>
        </w:rPr>
        <w:t>Executive Compensation – Executive Compensation Tables – Fiscal Year 2026 Summary Compensation Table</w:t>
      </w:r>
      <w:r>
        <w:rPr>
          <w:rFonts w:ascii="Montserrat;sans-serif" w:hAnsi="Montserrat;sans-serif"/>
          <w:color w:val="000000"/>
          <w:sz w:val="16"/>
        </w:rPr>
        <w:t>” (“SCT”) above. The individuals comprising the PEO and Non-PEO NEOs for each year are listed in the table below.</w:t>
      </w:r>
    </w:p>
    <w:p>
      <w:pPr>
        <w:pStyle w:val="TextBody"/>
        <w:bidi w:val="0"/>
        <w:jc w:val="both"/>
        <w:rPr/>
      </w:pPr>
      <w:r>
        <w:rPr/>
        <w:t> </w:t>
      </w:r>
    </w:p>
    <w:tbl>
      <w:tblPr>
        <w:tblW w:w="4602" w:type="dxa"/>
        <w:jc w:val="left"/>
        <w:tblInd w:w="0" w:type="dxa"/>
        <w:tblLayout w:type="fixed"/>
        <w:tblCellMar>
          <w:top w:w="28" w:type="dxa"/>
          <w:left w:w="28" w:type="dxa"/>
          <w:bottom w:w="28" w:type="dxa"/>
          <w:right w:w="28" w:type="dxa"/>
        </w:tblCellMar>
      </w:tblPr>
      <w:tblGrid>
        <w:gridCol w:w="161"/>
        <w:gridCol w:w="1291"/>
        <w:gridCol w:w="146"/>
        <w:gridCol w:w="466"/>
        <w:gridCol w:w="146"/>
        <w:gridCol w:w="511"/>
        <w:gridCol w:w="146"/>
        <w:gridCol w:w="466"/>
        <w:gridCol w:w="146"/>
        <w:gridCol w:w="466"/>
        <w:gridCol w:w="146"/>
        <w:gridCol w:w="511"/>
      </w:tblGrid>
      <w:tr>
        <w:trPr/>
        <w:tc>
          <w:tcPr>
            <w:tcW w:w="16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tcBorders>
              <w:bottom w:val="single" w:sz="4" w:space="0" w:color="7855FA"/>
            </w:tcBorders>
            <w:tcMar>
              <w:top w:w="0" w:type="dxa"/>
              <w:left w:w="0" w:type="dxa"/>
              <w:right w:w="0" w:type="dxa"/>
            </w:tcMar>
            <w:vAlign w:val="center"/>
          </w:tcPr>
          <w:p>
            <w:pPr>
              <w:pStyle w:val="TableContents"/>
              <w:bidi w:val="0"/>
              <w:spacing w:before="40" w:after="40"/>
              <w:jc w:val="left"/>
              <w:rPr>
                <w:rFonts w:ascii="Montserrat;sans-serif" w:hAnsi="Montserrat;sans-serif"/>
                <w:b/>
                <w:color w:val="7855FA"/>
                <w:sz w:val="12"/>
              </w:rPr>
            </w:pPr>
            <w:r>
              <w:rPr>
                <w:rFonts w:ascii="Montserrat;sans-serif" w:hAnsi="Montserrat;sans-serif"/>
                <w:b/>
                <w:color w:val="7855FA"/>
                <w:sz w:val="12"/>
              </w:rPr>
              <w:t>Name</w:t>
            </w:r>
          </w:p>
        </w:tc>
        <w:tc>
          <w:tcPr>
            <w:tcW w:w="146" w:type="dxa"/>
            <w:tcBorders>
              <w:bottom w:val="single" w:sz="4" w:space="0" w:color="7855F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4" w:space="0" w:color="7855FA"/>
              <w:bottom w:val="single" w:sz="4" w:space="0" w:color="7855FA"/>
            </w:tcBorders>
            <w:tcMar>
              <w:left w:w="0" w:type="dxa"/>
              <w:right w:w="0" w:type="dxa"/>
            </w:tcMar>
            <w:vAlign w:val="center"/>
          </w:tcPr>
          <w:p>
            <w:pPr>
              <w:pStyle w:val="TableContents"/>
              <w:bidi w:val="0"/>
              <w:spacing w:before="40" w:after="40"/>
              <w:jc w:val="center"/>
              <w:rPr>
                <w:rFonts w:ascii="Montserrat;sans-serif" w:hAnsi="Montserrat;sans-serif"/>
                <w:b/>
                <w:color w:val="7855FA"/>
                <w:sz w:val="12"/>
              </w:rPr>
            </w:pPr>
            <w:r>
              <w:rPr>
                <w:rFonts w:ascii="Montserrat;sans-serif" w:hAnsi="Montserrat;sans-serif"/>
                <w:b/>
                <w:color w:val="7855FA"/>
                <w:sz w:val="12"/>
              </w:rPr>
              <w:t>2022</w:t>
            </w:r>
          </w:p>
        </w:tc>
        <w:tc>
          <w:tcPr>
            <w:tcW w:w="146" w:type="dxa"/>
            <w:tcBorders>
              <w:top w:val="single" w:sz="4" w:space="0" w:color="7855FA"/>
              <w:bottom w:val="single" w:sz="4" w:space="0" w:color="7855FA"/>
            </w:tcBorders>
            <w:tcMar>
              <w:left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4" w:space="0" w:color="7855FA"/>
              <w:bottom w:val="single" w:sz="4" w:space="0" w:color="7855FA"/>
            </w:tcBorders>
            <w:tcMar>
              <w:left w:w="0" w:type="dxa"/>
              <w:right w:w="0" w:type="dxa"/>
            </w:tcMar>
            <w:vAlign w:val="center"/>
          </w:tcPr>
          <w:p>
            <w:pPr>
              <w:pStyle w:val="TableContents"/>
              <w:bidi w:val="0"/>
              <w:spacing w:before="40" w:after="40"/>
              <w:jc w:val="center"/>
              <w:rPr>
                <w:rFonts w:ascii="Montserrat;sans-serif" w:hAnsi="Montserrat;sans-serif"/>
                <w:sz w:val="12"/>
              </w:rPr>
            </w:pPr>
            <w:r>
              <w:rPr>
                <w:rFonts w:ascii="Montserrat;sans-serif" w:hAnsi="Montserrat;sans-serif"/>
                <w:b/>
                <w:color w:val="7855FA"/>
                <w:sz w:val="12"/>
              </w:rPr>
              <w:t>2023</w:t>
            </w:r>
            <w:r>
              <w:rPr>
                <w:rFonts w:ascii="Montserrat;sans-serif" w:hAnsi="Montserrat;sans-serif"/>
                <w:color w:val="7855FA"/>
                <w:sz w:val="12"/>
              </w:rPr>
              <w:t xml:space="preserve"> </w:t>
            </w:r>
          </w:p>
        </w:tc>
        <w:tc>
          <w:tcPr>
            <w:tcW w:w="146" w:type="dxa"/>
            <w:tcBorders>
              <w:top w:val="single" w:sz="4" w:space="0" w:color="7855FA"/>
              <w:bottom w:val="single" w:sz="4" w:space="0" w:color="7855FA"/>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4" w:space="0" w:color="7855FA"/>
              <w:bottom w:val="single" w:sz="4" w:space="0" w:color="7855FA"/>
            </w:tcBorders>
            <w:tcMar>
              <w:left w:w="0" w:type="dxa"/>
              <w:right w:w="0" w:type="dxa"/>
            </w:tcMar>
            <w:vAlign w:val="center"/>
          </w:tcPr>
          <w:p>
            <w:pPr>
              <w:pStyle w:val="TableContents"/>
              <w:bidi w:val="0"/>
              <w:spacing w:before="40" w:after="40"/>
              <w:jc w:val="center"/>
              <w:rPr>
                <w:rFonts w:ascii="Montserrat;sans-serif" w:hAnsi="Montserrat;sans-serif"/>
                <w:b/>
                <w:color w:val="7855FA"/>
                <w:sz w:val="12"/>
              </w:rPr>
            </w:pPr>
            <w:r>
              <w:rPr>
                <w:rFonts w:ascii="Montserrat;sans-serif" w:hAnsi="Montserrat;sans-serif"/>
                <w:b/>
                <w:color w:val="7855FA"/>
                <w:sz w:val="12"/>
              </w:rPr>
              <w:t>2024</w:t>
            </w:r>
          </w:p>
        </w:tc>
        <w:tc>
          <w:tcPr>
            <w:tcW w:w="146" w:type="dxa"/>
            <w:tcBorders>
              <w:top w:val="single" w:sz="4" w:space="0" w:color="7855FA"/>
              <w:bottom w:val="single" w:sz="4" w:space="0" w:color="7855FA"/>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4" w:space="0" w:color="7855FA"/>
              <w:bottom w:val="single" w:sz="4" w:space="0" w:color="7855FA"/>
            </w:tcBorders>
            <w:tcMar>
              <w:left w:w="0" w:type="dxa"/>
              <w:right w:w="0" w:type="dxa"/>
            </w:tcMar>
            <w:vAlign w:val="center"/>
          </w:tcPr>
          <w:p>
            <w:pPr>
              <w:pStyle w:val="TableContents"/>
              <w:bidi w:val="0"/>
              <w:spacing w:before="40" w:after="40"/>
              <w:jc w:val="center"/>
              <w:rPr>
                <w:rFonts w:ascii="Montserrat;sans-serif" w:hAnsi="Montserrat;sans-serif"/>
                <w:b/>
                <w:color w:val="7855FA"/>
                <w:sz w:val="12"/>
              </w:rPr>
            </w:pPr>
            <w:r>
              <w:rPr>
                <w:rFonts w:ascii="Montserrat;sans-serif" w:hAnsi="Montserrat;sans-serif"/>
                <w:b/>
                <w:color w:val="7855FA"/>
                <w:sz w:val="12"/>
              </w:rPr>
              <w:t>2025</w:t>
            </w:r>
          </w:p>
        </w:tc>
        <w:tc>
          <w:tcPr>
            <w:tcW w:w="146" w:type="dxa"/>
            <w:tcBorders>
              <w:top w:val="single" w:sz="4" w:space="0" w:color="7855FA"/>
              <w:bottom w:val="single" w:sz="4" w:space="0" w:color="7855FA"/>
            </w:tcBorders>
            <w:tcMar>
              <w:left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4" w:space="0" w:color="7855FA"/>
              <w:bottom w:val="single" w:sz="4" w:space="0" w:color="7855FA"/>
            </w:tcBorders>
            <w:tcMar>
              <w:left w:w="0" w:type="dxa"/>
              <w:right w:w="0" w:type="dxa"/>
            </w:tcMar>
            <w:vAlign w:val="center"/>
          </w:tcPr>
          <w:p>
            <w:pPr>
              <w:pStyle w:val="TableContents"/>
              <w:bidi w:val="0"/>
              <w:spacing w:before="40" w:after="40"/>
              <w:jc w:val="center"/>
              <w:rPr>
                <w:rFonts w:ascii="Montserrat;sans-serif" w:hAnsi="Montserrat;sans-serif"/>
                <w:b/>
                <w:color w:val="7855FA"/>
                <w:sz w:val="12"/>
              </w:rPr>
            </w:pPr>
            <w:r>
              <w:rPr>
                <w:rFonts w:ascii="Montserrat;sans-serif" w:hAnsi="Montserrat;sans-serif"/>
                <w:b/>
                <w:color w:val="7855FA"/>
                <w:sz w:val="12"/>
              </w:rPr>
              <w:t>2026</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1291" w:type="dxa"/>
            <w:tcBorders>
              <w:bottom w:val="single" w:sz="4" w:space="0" w:color="7855FA"/>
            </w:tcBorders>
            <w:tcMar>
              <w:top w:w="0" w:type="dxa"/>
              <w:left w:w="0" w:type="dxa"/>
              <w:right w:w="0" w:type="dxa"/>
            </w:tcMar>
            <w:vAlign w:val="center"/>
          </w:tcPr>
          <w:p>
            <w:pPr>
              <w:pStyle w:val="TableContents"/>
              <w:bidi w:val="0"/>
              <w:spacing w:before="40" w:after="40"/>
              <w:jc w:val="left"/>
              <w:rPr>
                <w:rFonts w:ascii="Montserrat;sans-serif" w:hAnsi="Montserrat;sans-serif"/>
                <w:b/>
                <w:color w:val="7855FA"/>
                <w:sz w:val="12"/>
              </w:rPr>
            </w:pPr>
            <w:r>
              <w:rPr>
                <w:rFonts w:ascii="Montserrat;sans-serif" w:hAnsi="Montserrat;sans-serif"/>
                <w:b/>
                <w:color w:val="7855FA"/>
                <w:sz w:val="12"/>
              </w:rPr>
              <w:t>PEO</w:t>
            </w:r>
          </w:p>
        </w:tc>
        <w:tc>
          <w:tcPr>
            <w:tcW w:w="146" w:type="dxa"/>
            <w:tcBorders>
              <w:bottom w:val="single" w:sz="4" w:space="0" w:color="7855FA"/>
            </w:tcBorders>
            <w:tcMar>
              <w:top w:w="0" w:type="dxa"/>
              <w:left w:w="0" w:type="dxa"/>
              <w:right w:w="0" w:type="dxa"/>
            </w:tcMar>
            <w:vAlign w:val="center"/>
          </w:tcPr>
          <w:p>
            <w:pPr>
              <w:pStyle w:val="TableContents"/>
              <w:bidi w:val="0"/>
              <w:spacing w:before="40" w:after="40"/>
              <w:jc w:val="left"/>
              <w:rPr/>
            </w:pPr>
            <w:r>
              <w:rPr/>
              <w:t> </w:t>
            </w:r>
          </w:p>
        </w:tc>
        <w:tc>
          <w:tcPr>
            <w:tcW w:w="466" w:type="dxa"/>
            <w:tcBorders>
              <w:bottom w:val="single" w:sz="4" w:space="0" w:color="7855FA"/>
            </w:tcBorders>
            <w:tcMar>
              <w:top w:w="0" w:type="dxa"/>
              <w:left w:w="0" w:type="dxa"/>
              <w:right w:w="0" w:type="dxa"/>
            </w:tcMar>
            <w:vAlign w:val="center"/>
          </w:tcPr>
          <w:p>
            <w:pPr>
              <w:pStyle w:val="TableContents"/>
              <w:bidi w:val="0"/>
              <w:spacing w:before="40" w:after="40"/>
              <w:jc w:val="center"/>
              <w:rPr/>
            </w:pPr>
            <w:r>
              <w:rPr/>
              <w:t> </w:t>
            </w:r>
          </w:p>
        </w:tc>
        <w:tc>
          <w:tcPr>
            <w:tcW w:w="146" w:type="dxa"/>
            <w:tcBorders>
              <w:bottom w:val="single" w:sz="4" w:space="0" w:color="7855FA"/>
            </w:tcBorders>
            <w:tcMar>
              <w:top w:w="0" w:type="dxa"/>
              <w:left w:w="0" w:type="dxa"/>
              <w:right w:w="0" w:type="dxa"/>
            </w:tcMar>
            <w:vAlign w:val="center"/>
          </w:tcPr>
          <w:p>
            <w:pPr>
              <w:pStyle w:val="TableContents"/>
              <w:bidi w:val="0"/>
              <w:spacing w:before="40" w:after="40"/>
              <w:jc w:val="center"/>
              <w:rPr/>
            </w:pPr>
            <w:r>
              <w:rPr/>
              <w:t> </w:t>
            </w:r>
          </w:p>
        </w:tc>
        <w:tc>
          <w:tcPr>
            <w:tcW w:w="511" w:type="dxa"/>
            <w:tcBorders>
              <w:bottom w:val="single" w:sz="4" w:space="0" w:color="7855FA"/>
            </w:tcBorders>
            <w:tcMar>
              <w:top w:w="0" w:type="dxa"/>
              <w:left w:w="0" w:type="dxa"/>
              <w:right w:w="0" w:type="dxa"/>
            </w:tcMar>
            <w:vAlign w:val="center"/>
          </w:tcPr>
          <w:p>
            <w:pPr>
              <w:pStyle w:val="TableContents"/>
              <w:bidi w:val="0"/>
              <w:spacing w:before="40" w:after="40"/>
              <w:jc w:val="center"/>
              <w:rPr/>
            </w:pPr>
            <w:r>
              <w:rPr/>
              <w:t> </w:t>
            </w:r>
          </w:p>
        </w:tc>
        <w:tc>
          <w:tcPr>
            <w:tcW w:w="146" w:type="dxa"/>
            <w:tcBorders>
              <w:bottom w:val="single" w:sz="4" w:space="0" w:color="7855FA"/>
            </w:tcBorders>
            <w:tcMar>
              <w:top w:w="0" w:type="dxa"/>
              <w:left w:w="0" w:type="dxa"/>
              <w:right w:w="0" w:type="dxa"/>
            </w:tcMar>
            <w:vAlign w:val="center"/>
          </w:tcPr>
          <w:p>
            <w:pPr>
              <w:pStyle w:val="TableContents"/>
              <w:bidi w:val="0"/>
              <w:spacing w:before="40" w:after="40"/>
              <w:jc w:val="center"/>
              <w:rPr/>
            </w:pPr>
            <w:r>
              <w:rPr/>
              <w:t> </w:t>
            </w:r>
          </w:p>
        </w:tc>
        <w:tc>
          <w:tcPr>
            <w:tcW w:w="466" w:type="dxa"/>
            <w:tcBorders>
              <w:bottom w:val="single" w:sz="4" w:space="0" w:color="7855FA"/>
            </w:tcBorders>
            <w:tcMar>
              <w:top w:w="0" w:type="dxa"/>
              <w:left w:w="0" w:type="dxa"/>
              <w:right w:w="0" w:type="dxa"/>
            </w:tcMar>
            <w:vAlign w:val="center"/>
          </w:tcPr>
          <w:p>
            <w:pPr>
              <w:pStyle w:val="TableContents"/>
              <w:bidi w:val="0"/>
              <w:spacing w:before="40" w:after="40"/>
              <w:jc w:val="center"/>
              <w:rPr/>
            </w:pPr>
            <w:r>
              <w:rPr/>
              <w:t> </w:t>
            </w:r>
          </w:p>
        </w:tc>
        <w:tc>
          <w:tcPr>
            <w:tcW w:w="146" w:type="dxa"/>
            <w:tcBorders>
              <w:bottom w:val="single" w:sz="4" w:space="0" w:color="7855FA"/>
            </w:tcBorders>
            <w:tcMar>
              <w:top w:w="0" w:type="dxa"/>
              <w:left w:w="0" w:type="dxa"/>
              <w:right w:w="0" w:type="dxa"/>
            </w:tcMar>
            <w:vAlign w:val="center"/>
          </w:tcPr>
          <w:p>
            <w:pPr>
              <w:pStyle w:val="TableContents"/>
              <w:bidi w:val="0"/>
              <w:spacing w:before="40" w:after="40"/>
              <w:jc w:val="center"/>
              <w:rPr/>
            </w:pPr>
            <w:r>
              <w:rPr/>
              <w:t> </w:t>
            </w:r>
          </w:p>
        </w:tc>
        <w:tc>
          <w:tcPr>
            <w:tcW w:w="466" w:type="dxa"/>
            <w:tcBorders>
              <w:bottom w:val="single" w:sz="4" w:space="0" w:color="7855FA"/>
            </w:tcBorders>
            <w:tcMar>
              <w:top w:w="0" w:type="dxa"/>
              <w:left w:w="0" w:type="dxa"/>
              <w:right w:w="0" w:type="dxa"/>
            </w:tcMar>
            <w:vAlign w:val="center"/>
          </w:tcPr>
          <w:p>
            <w:pPr>
              <w:pStyle w:val="TableContents"/>
              <w:bidi w:val="0"/>
              <w:spacing w:before="40" w:after="40"/>
              <w:jc w:val="center"/>
              <w:rPr/>
            </w:pPr>
            <w:r>
              <w:rPr/>
              <w:t> </w:t>
            </w:r>
          </w:p>
        </w:tc>
        <w:tc>
          <w:tcPr>
            <w:tcW w:w="146" w:type="dxa"/>
            <w:tcBorders>
              <w:bottom w:val="single" w:sz="4" w:space="0" w:color="7855FA"/>
            </w:tcBorders>
            <w:tcMar>
              <w:top w:w="0" w:type="dxa"/>
              <w:left w:w="0" w:type="dxa"/>
              <w:right w:w="0" w:type="dxa"/>
            </w:tcMar>
            <w:vAlign w:val="center"/>
          </w:tcPr>
          <w:p>
            <w:pPr>
              <w:pStyle w:val="TableContents"/>
              <w:bidi w:val="0"/>
              <w:spacing w:before="40" w:after="40"/>
              <w:jc w:val="center"/>
              <w:rPr/>
            </w:pPr>
            <w:r>
              <w:rPr/>
              <w:t> </w:t>
            </w:r>
          </w:p>
        </w:tc>
        <w:tc>
          <w:tcPr>
            <w:tcW w:w="511" w:type="dxa"/>
            <w:tcBorders>
              <w:bottom w:val="single" w:sz="4" w:space="0" w:color="7855FA"/>
            </w:tcBorders>
            <w:tcMar>
              <w:top w:w="0" w:type="dxa"/>
              <w:left w:w="0" w:type="dxa"/>
              <w:right w:w="0" w:type="dxa"/>
            </w:tcMar>
            <w:vAlign w:val="center"/>
          </w:tcPr>
          <w:p>
            <w:pPr>
              <w:pStyle w:val="TableContents"/>
              <w:bidi w:val="0"/>
              <w:spacing w:before="40" w:after="40"/>
              <w:jc w:val="center"/>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tcBorders>
              <w:bottom w:val="single" w:sz="4" w:space="0" w:color="000000"/>
            </w:tcBorders>
            <w:tcMar>
              <w:top w:w="0" w:type="dxa"/>
              <w:left w:w="0" w:type="dxa"/>
              <w:right w:w="0" w:type="dxa"/>
            </w:tcMar>
            <w:vAlign w:val="center"/>
          </w:tcPr>
          <w:p>
            <w:pPr>
              <w:pStyle w:val="TableContents"/>
              <w:bidi w:val="0"/>
              <w:spacing w:before="40" w:after="40"/>
              <w:jc w:val="left"/>
              <w:rPr>
                <w:rFonts w:ascii="Montserrat;sans-serif" w:hAnsi="Montserrat;sans-serif"/>
                <w:color w:val="000000"/>
                <w:sz w:val="12"/>
              </w:rPr>
            </w:pPr>
            <w:r>
              <w:rPr>
                <w:rFonts w:ascii="Montserrat;sans-serif" w:hAnsi="Montserrat;sans-serif"/>
                <w:color w:val="000000"/>
                <w:sz w:val="12"/>
              </w:rPr>
              <w:t>Rajiv Ramaswami</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4" w:space="0" w:color="000000"/>
            </w:tcBorders>
            <w:tcMar>
              <w:top w:w="0" w:type="dxa"/>
              <w:left w:w="0" w:type="dxa"/>
              <w:right w:w="0" w:type="dxa"/>
            </w:tcMar>
            <w:vAlign w:val="center"/>
          </w:tcPr>
          <w:p>
            <w:pPr>
              <w:pStyle w:val="TableContents"/>
              <w:bidi w:val="0"/>
              <w:spacing w:before="40" w:after="40"/>
              <w:jc w:val="center"/>
              <w:rPr>
                <w:color w:val="000000"/>
              </w:rPr>
            </w:pPr>
            <w:r>
              <w:rPr>
                <w:color w:val="00000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4" w:space="0" w:color="000000"/>
            </w:tcBorders>
            <w:tcMar>
              <w:top w:w="0" w:type="dxa"/>
              <w:left w:w="0" w:type="dxa"/>
              <w:right w:w="0" w:type="dxa"/>
            </w:tcMar>
            <w:vAlign w:val="center"/>
          </w:tcPr>
          <w:p>
            <w:pPr>
              <w:pStyle w:val="TableContents"/>
              <w:bidi w:val="0"/>
              <w:spacing w:before="40" w:after="40"/>
              <w:jc w:val="center"/>
              <w:rPr>
                <w:color w:val="000000"/>
              </w:rPr>
            </w:pPr>
            <w:r>
              <w:rPr>
                <w:color w:val="00000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4" w:space="0" w:color="000000"/>
            </w:tcBorders>
            <w:tcMar>
              <w:top w:w="0" w:type="dxa"/>
              <w:left w:w="0" w:type="dxa"/>
              <w:right w:w="0" w:type="dxa"/>
            </w:tcMar>
            <w:vAlign w:val="center"/>
          </w:tcPr>
          <w:p>
            <w:pPr>
              <w:pStyle w:val="TableContents"/>
              <w:bidi w:val="0"/>
              <w:spacing w:before="40" w:after="40"/>
              <w:jc w:val="center"/>
              <w:rPr>
                <w:color w:val="000000"/>
              </w:rPr>
            </w:pPr>
            <w:r>
              <w:rPr>
                <w:color w:val="00000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4" w:space="0" w:color="000000"/>
            </w:tcBorders>
            <w:tcMar>
              <w:top w:w="0" w:type="dxa"/>
              <w:left w:w="0" w:type="dxa"/>
              <w:right w:w="0" w:type="dxa"/>
            </w:tcMar>
            <w:vAlign w:val="center"/>
          </w:tcPr>
          <w:p>
            <w:pPr>
              <w:pStyle w:val="TableContents"/>
              <w:bidi w:val="0"/>
              <w:spacing w:before="40" w:after="40"/>
              <w:jc w:val="center"/>
              <w:rPr>
                <w:color w:val="000000"/>
              </w:rPr>
            </w:pPr>
            <w:r>
              <w:rPr>
                <w:color w:val="00000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4" w:space="0" w:color="000000"/>
            </w:tcBorders>
            <w:tcMar>
              <w:top w:w="0" w:type="dxa"/>
              <w:left w:w="0" w:type="dxa"/>
              <w:right w:w="0" w:type="dxa"/>
            </w:tcMar>
            <w:vAlign w:val="center"/>
          </w:tcPr>
          <w:p>
            <w:pPr>
              <w:pStyle w:val="TableContents"/>
              <w:bidi w:val="0"/>
              <w:spacing w:before="40" w:after="40"/>
              <w:jc w:val="center"/>
              <w:rPr>
                <w:color w:val="000000"/>
              </w:rPr>
            </w:pPr>
            <w:r>
              <w:rPr>
                <w:color w:val="000000"/>
              </w:rPr>
              <w:t></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1291" w:type="dxa"/>
            <w:tcBorders>
              <w:bottom w:val="single" w:sz="4" w:space="0" w:color="7855FA"/>
            </w:tcBorders>
            <w:tcMar>
              <w:top w:w="0" w:type="dxa"/>
              <w:left w:w="0" w:type="dxa"/>
              <w:right w:w="0" w:type="dxa"/>
            </w:tcMar>
            <w:vAlign w:val="center"/>
          </w:tcPr>
          <w:p>
            <w:pPr>
              <w:pStyle w:val="TableContents"/>
              <w:bidi w:val="0"/>
              <w:spacing w:before="40" w:after="40"/>
              <w:jc w:val="left"/>
              <w:rPr>
                <w:rFonts w:ascii="Montserrat;sans-serif" w:hAnsi="Montserrat;sans-serif"/>
                <w:b/>
                <w:color w:val="7855FA"/>
                <w:sz w:val="12"/>
              </w:rPr>
            </w:pPr>
            <w:r>
              <w:rPr>
                <w:rFonts w:ascii="Montserrat;sans-serif" w:hAnsi="Montserrat;sans-serif"/>
                <w:b/>
                <w:color w:val="7855FA"/>
                <w:sz w:val="12"/>
              </w:rPr>
              <w:t>Non-PEO NEOs</w:t>
            </w:r>
          </w:p>
        </w:tc>
        <w:tc>
          <w:tcPr>
            <w:tcW w:w="146" w:type="dxa"/>
            <w:tcBorders>
              <w:bottom w:val="single" w:sz="4" w:space="0" w:color="7855FA"/>
            </w:tcBorders>
            <w:tcMar>
              <w:top w:w="0" w:type="dxa"/>
              <w:left w:w="0" w:type="dxa"/>
              <w:right w:w="0" w:type="dxa"/>
            </w:tcMar>
            <w:vAlign w:val="center"/>
          </w:tcPr>
          <w:p>
            <w:pPr>
              <w:pStyle w:val="TableContents"/>
              <w:bidi w:val="0"/>
              <w:spacing w:before="40" w:after="40"/>
              <w:jc w:val="left"/>
              <w:rPr/>
            </w:pPr>
            <w:r>
              <w:rPr/>
              <w:t> </w:t>
            </w:r>
          </w:p>
        </w:tc>
        <w:tc>
          <w:tcPr>
            <w:tcW w:w="466" w:type="dxa"/>
            <w:tcBorders>
              <w:bottom w:val="single" w:sz="4" w:space="0" w:color="7855FA"/>
            </w:tcBorders>
            <w:tcMar>
              <w:top w:w="0" w:type="dxa"/>
              <w:left w:w="0" w:type="dxa"/>
              <w:right w:w="0" w:type="dxa"/>
            </w:tcMar>
            <w:vAlign w:val="center"/>
          </w:tcPr>
          <w:p>
            <w:pPr>
              <w:pStyle w:val="TableContents"/>
              <w:bidi w:val="0"/>
              <w:spacing w:before="40" w:after="40"/>
              <w:jc w:val="center"/>
              <w:rPr/>
            </w:pPr>
            <w:r>
              <w:rPr/>
              <w:t> </w:t>
            </w:r>
          </w:p>
        </w:tc>
        <w:tc>
          <w:tcPr>
            <w:tcW w:w="146" w:type="dxa"/>
            <w:tcBorders>
              <w:bottom w:val="single" w:sz="4" w:space="0" w:color="7855FA"/>
            </w:tcBorders>
            <w:tcMar>
              <w:top w:w="0" w:type="dxa"/>
              <w:left w:w="0" w:type="dxa"/>
              <w:right w:w="0" w:type="dxa"/>
            </w:tcMar>
            <w:vAlign w:val="center"/>
          </w:tcPr>
          <w:p>
            <w:pPr>
              <w:pStyle w:val="TableContents"/>
              <w:bidi w:val="0"/>
              <w:spacing w:before="40" w:after="40"/>
              <w:jc w:val="center"/>
              <w:rPr/>
            </w:pPr>
            <w:r>
              <w:rPr/>
              <w:t> </w:t>
            </w:r>
          </w:p>
        </w:tc>
        <w:tc>
          <w:tcPr>
            <w:tcW w:w="511" w:type="dxa"/>
            <w:tcBorders>
              <w:bottom w:val="single" w:sz="4" w:space="0" w:color="7855FA"/>
            </w:tcBorders>
            <w:tcMar>
              <w:top w:w="0" w:type="dxa"/>
              <w:left w:w="0" w:type="dxa"/>
              <w:right w:w="0" w:type="dxa"/>
            </w:tcMar>
            <w:vAlign w:val="center"/>
          </w:tcPr>
          <w:p>
            <w:pPr>
              <w:pStyle w:val="TableContents"/>
              <w:bidi w:val="0"/>
              <w:spacing w:before="40" w:after="40"/>
              <w:jc w:val="center"/>
              <w:rPr/>
            </w:pPr>
            <w:r>
              <w:rPr/>
              <w:t> </w:t>
            </w:r>
          </w:p>
        </w:tc>
        <w:tc>
          <w:tcPr>
            <w:tcW w:w="146" w:type="dxa"/>
            <w:tcBorders>
              <w:bottom w:val="single" w:sz="4" w:space="0" w:color="7855FA"/>
            </w:tcBorders>
            <w:tcMar>
              <w:top w:w="0" w:type="dxa"/>
              <w:left w:w="0" w:type="dxa"/>
              <w:right w:w="0" w:type="dxa"/>
            </w:tcMar>
            <w:vAlign w:val="center"/>
          </w:tcPr>
          <w:p>
            <w:pPr>
              <w:pStyle w:val="TableContents"/>
              <w:bidi w:val="0"/>
              <w:spacing w:before="40" w:after="40"/>
              <w:jc w:val="center"/>
              <w:rPr/>
            </w:pPr>
            <w:r>
              <w:rPr/>
              <w:t> </w:t>
            </w:r>
          </w:p>
        </w:tc>
        <w:tc>
          <w:tcPr>
            <w:tcW w:w="466" w:type="dxa"/>
            <w:tcBorders>
              <w:bottom w:val="single" w:sz="4" w:space="0" w:color="7855FA"/>
            </w:tcBorders>
            <w:tcMar>
              <w:top w:w="0" w:type="dxa"/>
              <w:left w:w="0" w:type="dxa"/>
              <w:right w:w="0" w:type="dxa"/>
            </w:tcMar>
            <w:vAlign w:val="center"/>
          </w:tcPr>
          <w:p>
            <w:pPr>
              <w:pStyle w:val="TableContents"/>
              <w:bidi w:val="0"/>
              <w:spacing w:before="40" w:after="40"/>
              <w:jc w:val="center"/>
              <w:rPr/>
            </w:pPr>
            <w:r>
              <w:rPr/>
              <w:t> </w:t>
            </w:r>
          </w:p>
        </w:tc>
        <w:tc>
          <w:tcPr>
            <w:tcW w:w="146" w:type="dxa"/>
            <w:tcBorders>
              <w:bottom w:val="single" w:sz="4" w:space="0" w:color="7855FA"/>
            </w:tcBorders>
            <w:tcMar>
              <w:top w:w="0" w:type="dxa"/>
              <w:left w:w="0" w:type="dxa"/>
              <w:right w:w="0" w:type="dxa"/>
            </w:tcMar>
            <w:vAlign w:val="center"/>
          </w:tcPr>
          <w:p>
            <w:pPr>
              <w:pStyle w:val="TableContents"/>
              <w:bidi w:val="0"/>
              <w:spacing w:before="40" w:after="40"/>
              <w:jc w:val="center"/>
              <w:rPr/>
            </w:pPr>
            <w:r>
              <w:rPr/>
              <w:t> </w:t>
            </w:r>
          </w:p>
        </w:tc>
        <w:tc>
          <w:tcPr>
            <w:tcW w:w="466" w:type="dxa"/>
            <w:tcBorders>
              <w:bottom w:val="single" w:sz="4" w:space="0" w:color="7855FA"/>
            </w:tcBorders>
            <w:tcMar>
              <w:top w:w="0" w:type="dxa"/>
              <w:left w:w="0" w:type="dxa"/>
              <w:right w:w="0" w:type="dxa"/>
            </w:tcMar>
            <w:vAlign w:val="center"/>
          </w:tcPr>
          <w:p>
            <w:pPr>
              <w:pStyle w:val="TableContents"/>
              <w:bidi w:val="0"/>
              <w:spacing w:before="40" w:after="40"/>
              <w:jc w:val="center"/>
              <w:rPr/>
            </w:pPr>
            <w:r>
              <w:rPr/>
              <w:t> </w:t>
            </w:r>
          </w:p>
        </w:tc>
        <w:tc>
          <w:tcPr>
            <w:tcW w:w="146" w:type="dxa"/>
            <w:tcBorders>
              <w:bottom w:val="single" w:sz="4" w:space="0" w:color="7855FA"/>
            </w:tcBorders>
            <w:tcMar>
              <w:top w:w="0" w:type="dxa"/>
              <w:left w:w="0" w:type="dxa"/>
              <w:right w:w="0" w:type="dxa"/>
            </w:tcMar>
            <w:vAlign w:val="center"/>
          </w:tcPr>
          <w:p>
            <w:pPr>
              <w:pStyle w:val="TableContents"/>
              <w:bidi w:val="0"/>
              <w:spacing w:before="40" w:after="40"/>
              <w:jc w:val="center"/>
              <w:rPr/>
            </w:pPr>
            <w:r>
              <w:rPr/>
              <w:t> </w:t>
            </w:r>
          </w:p>
        </w:tc>
        <w:tc>
          <w:tcPr>
            <w:tcW w:w="511" w:type="dxa"/>
            <w:tcBorders>
              <w:bottom w:val="single" w:sz="4" w:space="0" w:color="7855FA"/>
            </w:tcBorders>
            <w:tcMar>
              <w:top w:w="0" w:type="dxa"/>
              <w:left w:w="0" w:type="dxa"/>
              <w:right w:w="0" w:type="dxa"/>
            </w:tcMar>
            <w:vAlign w:val="center"/>
          </w:tcPr>
          <w:p>
            <w:pPr>
              <w:pStyle w:val="TableContents"/>
              <w:bidi w:val="0"/>
              <w:spacing w:before="40" w:after="40"/>
              <w:jc w:val="center"/>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tcBorders>
              <w:bottom w:val="single" w:sz="4" w:space="0" w:color="000000"/>
            </w:tcBorders>
            <w:tcMar>
              <w:top w:w="0" w:type="dxa"/>
              <w:left w:w="0" w:type="dxa"/>
              <w:right w:w="0" w:type="dxa"/>
            </w:tcMar>
            <w:vAlign w:val="center"/>
          </w:tcPr>
          <w:p>
            <w:pPr>
              <w:pStyle w:val="TableContents"/>
              <w:bidi w:val="0"/>
              <w:spacing w:before="40" w:after="40"/>
              <w:jc w:val="left"/>
              <w:rPr>
                <w:rFonts w:ascii="Montserrat;sans-serif" w:hAnsi="Montserrat;sans-serif"/>
                <w:color w:val="000000"/>
                <w:sz w:val="12"/>
              </w:rPr>
            </w:pPr>
            <w:r>
              <w:rPr>
                <w:rFonts w:ascii="Montserrat;sans-serif" w:hAnsi="Montserrat;sans-serif"/>
                <w:color w:val="000000"/>
                <w:sz w:val="12"/>
              </w:rPr>
              <w:t>Rukmini Sivaraman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4" w:space="0" w:color="000000"/>
            </w:tcBorders>
            <w:tcMar>
              <w:top w:w="0" w:type="dxa"/>
              <w:left w:w="0" w:type="dxa"/>
              <w:right w:w="0" w:type="dxa"/>
            </w:tcMar>
            <w:vAlign w:val="center"/>
          </w:tcPr>
          <w:p>
            <w:pPr>
              <w:pStyle w:val="TableContents"/>
              <w:bidi w:val="0"/>
              <w:spacing w:before="40" w:after="40"/>
              <w:jc w:val="center"/>
              <w:rPr>
                <w:color w:val="000000"/>
              </w:rPr>
            </w:pPr>
            <w:r>
              <w:rPr>
                <w:color w:val="000000"/>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4" w:space="0" w:color="000000"/>
            </w:tcBorders>
            <w:tcMar>
              <w:top w:w="0" w:type="dxa"/>
              <w:left w:w="0" w:type="dxa"/>
              <w:right w:w="0" w:type="dxa"/>
            </w:tcMar>
            <w:vAlign w:val="center"/>
          </w:tcPr>
          <w:p>
            <w:pPr>
              <w:pStyle w:val="TableContents"/>
              <w:bidi w:val="0"/>
              <w:spacing w:before="40" w:after="40"/>
              <w:jc w:val="center"/>
              <w:rPr>
                <w:color w:val="000000"/>
              </w:rPr>
            </w:pPr>
            <w:r>
              <w:rPr>
                <w:color w:val="00000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4" w:space="0" w:color="000000"/>
            </w:tcBorders>
            <w:tcMar>
              <w:top w:w="0" w:type="dxa"/>
              <w:left w:w="0" w:type="dxa"/>
              <w:right w:w="0" w:type="dxa"/>
            </w:tcMar>
            <w:vAlign w:val="center"/>
          </w:tcPr>
          <w:p>
            <w:pPr>
              <w:pStyle w:val="TableContents"/>
              <w:bidi w:val="0"/>
              <w:spacing w:before="40" w:after="40"/>
              <w:jc w:val="center"/>
              <w:rPr>
                <w:color w:val="000000"/>
              </w:rPr>
            </w:pPr>
            <w:r>
              <w:rPr>
                <w:color w:val="00000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4" w:space="0" w:color="000000"/>
            </w:tcBorders>
            <w:tcMar>
              <w:top w:w="0" w:type="dxa"/>
              <w:left w:w="0" w:type="dxa"/>
              <w:right w:w="0" w:type="dxa"/>
            </w:tcMar>
            <w:vAlign w:val="center"/>
          </w:tcPr>
          <w:p>
            <w:pPr>
              <w:pStyle w:val="TableContents"/>
              <w:bidi w:val="0"/>
              <w:spacing w:before="40" w:after="40"/>
              <w:jc w:val="center"/>
              <w:rPr>
                <w:color w:val="000000"/>
              </w:rPr>
            </w:pPr>
            <w:r>
              <w:rPr>
                <w:color w:val="00000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4" w:space="0" w:color="000000"/>
            </w:tcBorders>
            <w:tcMar>
              <w:top w:w="0" w:type="dxa"/>
              <w:left w:w="0" w:type="dxa"/>
              <w:right w:w="0" w:type="dxa"/>
            </w:tcMar>
            <w:vAlign w:val="center"/>
          </w:tcPr>
          <w:p>
            <w:pPr>
              <w:pStyle w:val="TableContents"/>
              <w:bidi w:val="0"/>
              <w:spacing w:before="40" w:after="40"/>
              <w:jc w:val="center"/>
              <w:rPr>
                <w:color w:val="000000"/>
              </w:rPr>
            </w:pPr>
            <w:r>
              <w:rPr>
                <w:color w:val="000000"/>
              </w:rPr>
              <w:t></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1291" w:type="dxa"/>
            <w:tcBorders>
              <w:bottom w:val="single" w:sz="4" w:space="0" w:color="000000"/>
            </w:tcBorders>
            <w:tcMar>
              <w:top w:w="0" w:type="dxa"/>
              <w:left w:w="0" w:type="dxa"/>
              <w:right w:w="0" w:type="dxa"/>
            </w:tcMar>
            <w:vAlign w:val="center"/>
          </w:tcPr>
          <w:p>
            <w:pPr>
              <w:pStyle w:val="TableContents"/>
              <w:bidi w:val="0"/>
              <w:spacing w:before="40" w:after="40"/>
              <w:jc w:val="left"/>
              <w:rPr>
                <w:rFonts w:ascii="Montserrat;sans-serif" w:hAnsi="Montserrat;sans-serif"/>
                <w:color w:val="000000"/>
                <w:sz w:val="12"/>
              </w:rPr>
            </w:pPr>
            <w:r>
              <w:rPr>
                <w:rFonts w:ascii="Montserrat;sans-serif" w:hAnsi="Montserrat;sans-serif"/>
                <w:color w:val="000000"/>
                <w:sz w:val="12"/>
              </w:rPr>
              <w:t>Brian Martin</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40" w:after="40"/>
              <w:jc w:val="center"/>
              <w:rPr>
                <w:color w:val="000000"/>
              </w:rPr>
            </w:pPr>
            <w:r>
              <w:rPr>
                <w:color w:val="000000"/>
              </w:rPr>
              <w:t></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40" w:after="40"/>
              <w:jc w:val="center"/>
              <w:rPr>
                <w:color w:val="000000"/>
              </w:rPr>
            </w:pPr>
            <w:r>
              <w:rPr>
                <w:color w:val="000000"/>
              </w:rPr>
              <w:t></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40" w:after="40"/>
              <w:jc w:val="center"/>
              <w:rPr>
                <w:color w:val="000000"/>
              </w:rPr>
            </w:pPr>
            <w:r>
              <w:rPr>
                <w:color w:val="000000"/>
              </w:rPr>
              <w:t></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1291" w:type="dxa"/>
            <w:tcBorders>
              <w:bottom w:val="single" w:sz="4" w:space="0" w:color="000000"/>
            </w:tcBorders>
            <w:tcMar>
              <w:top w:w="0" w:type="dxa"/>
              <w:left w:w="0" w:type="dxa"/>
              <w:right w:w="0" w:type="dxa"/>
            </w:tcMar>
            <w:vAlign w:val="center"/>
          </w:tcPr>
          <w:p>
            <w:pPr>
              <w:pStyle w:val="TableContents"/>
              <w:bidi w:val="0"/>
              <w:spacing w:before="40" w:after="40"/>
              <w:jc w:val="left"/>
              <w:rPr>
                <w:rFonts w:ascii="Montserrat;sans-serif" w:hAnsi="Montserrat;sans-serif"/>
                <w:color w:val="000000"/>
                <w:sz w:val="12"/>
              </w:rPr>
            </w:pPr>
            <w:r>
              <w:rPr>
                <w:rFonts w:ascii="Montserrat;sans-serif" w:hAnsi="Montserrat;sans-serif"/>
                <w:color w:val="000000"/>
                <w:sz w:val="12"/>
              </w:rPr>
              <w:t>Tarkan Maner</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40" w:after="40"/>
              <w:jc w:val="center"/>
              <w:rPr>
                <w:color w:val="000000"/>
              </w:rPr>
            </w:pPr>
            <w:r>
              <w:rPr>
                <w:color w:val="000000"/>
              </w:rPr>
              <w:t></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tcBorders>
              <w:bottom w:val="single" w:sz="4" w:space="0" w:color="000000"/>
            </w:tcBorders>
            <w:tcMar>
              <w:top w:w="0" w:type="dxa"/>
              <w:left w:w="0" w:type="dxa"/>
              <w:right w:w="0" w:type="dxa"/>
            </w:tcMar>
            <w:vAlign w:val="center"/>
          </w:tcPr>
          <w:p>
            <w:pPr>
              <w:pStyle w:val="TableContents"/>
              <w:bidi w:val="0"/>
              <w:spacing w:before="40" w:after="40"/>
              <w:jc w:val="left"/>
              <w:rPr>
                <w:rFonts w:ascii="Montserrat;sans-serif" w:hAnsi="Montserrat;sans-serif"/>
                <w:color w:val="000000"/>
                <w:sz w:val="12"/>
              </w:rPr>
            </w:pPr>
            <w:r>
              <w:rPr>
                <w:rFonts w:ascii="Montserrat;sans-serif" w:hAnsi="Montserrat;sans-serif"/>
                <w:color w:val="000000"/>
                <w:sz w:val="12"/>
              </w:rPr>
              <w:t>David Sangster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4" w:space="0" w:color="000000"/>
            </w:tcBorders>
            <w:tcMar>
              <w:top w:w="0" w:type="dxa"/>
              <w:left w:w="0" w:type="dxa"/>
              <w:right w:w="0" w:type="dxa"/>
            </w:tcMar>
            <w:vAlign w:val="center"/>
          </w:tcPr>
          <w:p>
            <w:pPr>
              <w:pStyle w:val="TableContents"/>
              <w:bidi w:val="0"/>
              <w:spacing w:before="40" w:after="40"/>
              <w:jc w:val="center"/>
              <w:rPr>
                <w:color w:val="000000"/>
              </w:rPr>
            </w:pPr>
            <w:r>
              <w:rPr>
                <w:color w:val="00000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4" w:space="0" w:color="000000"/>
            </w:tcBorders>
            <w:tcMar>
              <w:top w:w="0" w:type="dxa"/>
              <w:left w:w="0" w:type="dxa"/>
              <w:right w:w="0" w:type="dxa"/>
            </w:tcMar>
            <w:vAlign w:val="center"/>
          </w:tcPr>
          <w:p>
            <w:pPr>
              <w:pStyle w:val="TableContents"/>
              <w:bidi w:val="0"/>
              <w:spacing w:before="40" w:after="40"/>
              <w:jc w:val="center"/>
              <w:rPr>
                <w:color w:val="000000"/>
              </w:rPr>
            </w:pPr>
            <w:r>
              <w:rPr>
                <w:color w:val="00000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4" w:space="0" w:color="000000"/>
            </w:tcBorders>
            <w:tcMar>
              <w:top w:w="0" w:type="dxa"/>
              <w:left w:w="0" w:type="dxa"/>
              <w:right w:w="0" w:type="dxa"/>
            </w:tcMar>
            <w:vAlign w:val="center"/>
          </w:tcPr>
          <w:p>
            <w:pPr>
              <w:pStyle w:val="TableContents"/>
              <w:bidi w:val="0"/>
              <w:spacing w:before="40" w:after="40"/>
              <w:jc w:val="center"/>
              <w:rPr>
                <w:color w:val="000000"/>
              </w:rPr>
            </w:pPr>
            <w:r>
              <w:rPr>
                <w:color w:val="00000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4" w:space="0" w:color="000000"/>
            </w:tcBorders>
            <w:tcMar>
              <w:top w:w="0" w:type="dxa"/>
              <w:left w:w="0" w:type="dxa"/>
              <w:right w:w="0" w:type="dxa"/>
            </w:tcMar>
            <w:vAlign w:val="center"/>
          </w:tcPr>
          <w:p>
            <w:pPr>
              <w:pStyle w:val="TableContents"/>
              <w:bidi w:val="0"/>
              <w:spacing w:before="40" w:after="40"/>
              <w:jc w:val="center"/>
              <w:rPr>
                <w:color w:val="000000"/>
              </w:rPr>
            </w:pPr>
            <w:r>
              <w:rPr>
                <w:color w:val="00000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tcBorders>
              <w:bottom w:val="single" w:sz="4" w:space="0" w:color="000000"/>
            </w:tcBorders>
            <w:tcMar>
              <w:top w:w="0" w:type="dxa"/>
              <w:left w:w="0" w:type="dxa"/>
              <w:right w:w="0" w:type="dxa"/>
            </w:tcMar>
            <w:vAlign w:val="center"/>
          </w:tcPr>
          <w:p>
            <w:pPr>
              <w:pStyle w:val="TableContents"/>
              <w:bidi w:val="0"/>
              <w:spacing w:before="40" w:after="40"/>
              <w:jc w:val="left"/>
              <w:rPr>
                <w:rFonts w:ascii="Montserrat;sans-serif" w:hAnsi="Montserrat;sans-serif"/>
                <w:color w:val="000000"/>
                <w:sz w:val="12"/>
              </w:rPr>
            </w:pPr>
            <w:r>
              <w:rPr>
                <w:rFonts w:ascii="Montserrat;sans-serif" w:hAnsi="Montserrat;sans-serif"/>
                <w:color w:val="000000"/>
                <w:sz w:val="12"/>
              </w:rPr>
              <w:t>Tyler Wall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4" w:space="0" w:color="000000"/>
            </w:tcBorders>
            <w:tcMar>
              <w:top w:w="0" w:type="dxa"/>
              <w:left w:w="0" w:type="dxa"/>
              <w:right w:w="0" w:type="dxa"/>
            </w:tcMar>
            <w:vAlign w:val="center"/>
          </w:tcPr>
          <w:p>
            <w:pPr>
              <w:pStyle w:val="TableContents"/>
              <w:bidi w:val="0"/>
              <w:spacing w:before="40" w:after="40"/>
              <w:jc w:val="center"/>
              <w:rPr>
                <w:color w:val="000000"/>
              </w:rPr>
            </w:pPr>
            <w:r>
              <w:rPr>
                <w:color w:val="00000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4" w:space="0" w:color="000000"/>
            </w:tcBorders>
            <w:tcMar>
              <w:top w:w="0" w:type="dxa"/>
              <w:left w:w="0" w:type="dxa"/>
              <w:right w:w="0" w:type="dxa"/>
            </w:tcMar>
            <w:vAlign w:val="center"/>
          </w:tcPr>
          <w:p>
            <w:pPr>
              <w:pStyle w:val="TableContents"/>
              <w:bidi w:val="0"/>
              <w:spacing w:before="40" w:after="40"/>
              <w:jc w:val="center"/>
              <w:rPr>
                <w:color w:val="000000"/>
              </w:rPr>
            </w:pPr>
            <w:r>
              <w:rPr>
                <w:color w:val="00000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4" w:space="0" w:color="000000"/>
            </w:tcBorders>
            <w:tcMar>
              <w:top w:w="0" w:type="dxa"/>
              <w:left w:w="0" w:type="dxa"/>
              <w:right w:w="0" w:type="dxa"/>
            </w:tcMar>
            <w:vAlign w:val="center"/>
          </w:tcPr>
          <w:p>
            <w:pPr>
              <w:pStyle w:val="TableContents"/>
              <w:bidi w:val="0"/>
              <w:spacing w:before="40" w:after="40"/>
              <w:jc w:val="center"/>
              <w:rPr>
                <w:color w:val="000000"/>
              </w:rPr>
            </w:pPr>
            <w:r>
              <w:rPr>
                <w:color w:val="00000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4" w:space="0" w:color="000000"/>
            </w:tcBorders>
            <w:tcMar>
              <w:top w:w="0" w:type="dxa"/>
              <w:left w:w="0" w:type="dxa"/>
              <w:right w:w="0" w:type="dxa"/>
            </w:tcMar>
            <w:vAlign w:val="center"/>
          </w:tcPr>
          <w:p>
            <w:pPr>
              <w:pStyle w:val="TableContents"/>
              <w:bidi w:val="0"/>
              <w:spacing w:before="40" w:after="40"/>
              <w:jc w:val="center"/>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tcBorders>
              <w:bottom w:val="single" w:sz="4" w:space="0" w:color="7855FA"/>
            </w:tcBorders>
            <w:tcMar>
              <w:top w:w="0" w:type="dxa"/>
              <w:left w:w="0" w:type="dxa"/>
              <w:right w:w="0" w:type="dxa"/>
            </w:tcMar>
            <w:vAlign w:val="center"/>
          </w:tcPr>
          <w:p>
            <w:pPr>
              <w:pStyle w:val="TableContents"/>
              <w:bidi w:val="0"/>
              <w:spacing w:before="40" w:after="40"/>
              <w:jc w:val="left"/>
              <w:rPr>
                <w:rFonts w:ascii="Montserrat;sans-serif" w:hAnsi="Montserrat;sans-serif"/>
                <w:color w:val="000000"/>
                <w:sz w:val="12"/>
              </w:rPr>
            </w:pPr>
            <w:r>
              <w:rPr>
                <w:rFonts w:ascii="Montserrat;sans-serif" w:hAnsi="Montserrat;sans-serif"/>
                <w:color w:val="000000"/>
                <w:sz w:val="12"/>
              </w:rPr>
              <w:t>Duston Williams</w:t>
            </w:r>
          </w:p>
        </w:tc>
        <w:tc>
          <w:tcPr>
            <w:tcW w:w="146" w:type="dxa"/>
            <w:tcBorders>
              <w:bottom w:val="single" w:sz="4" w:space="0" w:color="7855F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4" w:space="0" w:color="7855FA"/>
            </w:tcBorders>
            <w:tcMar>
              <w:top w:w="0" w:type="dxa"/>
              <w:left w:w="0" w:type="dxa"/>
              <w:right w:w="0" w:type="dxa"/>
            </w:tcMar>
            <w:vAlign w:val="center"/>
          </w:tcPr>
          <w:p>
            <w:pPr>
              <w:pStyle w:val="TableContents"/>
              <w:bidi w:val="0"/>
              <w:spacing w:before="40" w:after="40"/>
              <w:jc w:val="center"/>
              <w:rPr>
                <w:color w:val="000000"/>
              </w:rPr>
            </w:pPr>
            <w:r>
              <w:rPr>
                <w:color w:val="000000"/>
              </w:rPr>
              <w:t></w:t>
            </w:r>
          </w:p>
        </w:tc>
        <w:tc>
          <w:tcPr>
            <w:tcW w:w="146" w:type="dxa"/>
            <w:tcBorders>
              <w:bottom w:val="single" w:sz="4" w:space="0" w:color="7855F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4" w:space="0" w:color="7855FA"/>
            </w:tcBorders>
            <w:tcMar>
              <w:top w:w="0" w:type="dxa"/>
              <w:left w:w="0" w:type="dxa"/>
              <w:right w:w="0" w:type="dxa"/>
            </w:tcMar>
            <w:vAlign w:val="center"/>
          </w:tcPr>
          <w:p>
            <w:pPr>
              <w:pStyle w:val="TableContents"/>
              <w:bidi w:val="0"/>
              <w:spacing w:before="40" w:after="40"/>
              <w:jc w:val="center"/>
              <w:rPr/>
            </w:pPr>
            <w:r>
              <w:rPr/>
              <w:t> </w:t>
            </w:r>
          </w:p>
        </w:tc>
        <w:tc>
          <w:tcPr>
            <w:tcW w:w="146" w:type="dxa"/>
            <w:tcBorders>
              <w:bottom w:val="single" w:sz="4" w:space="0" w:color="7855F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4" w:space="0" w:color="7855F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7855F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4" w:space="0" w:color="7855F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7855F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4" w:space="0" w:color="7855F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spacing w:before="0" w:after="0"/>
        <w:jc w:val="both"/>
        <w:rPr>
          <w:rFonts w:ascii="Montserrat;sans-serif" w:hAnsi="Montserrat;sans-serif"/>
          <w:color w:val="000000"/>
          <w:sz w:val="16"/>
        </w:rPr>
      </w:pPr>
      <w:r>
        <w:rPr>
          <w:rFonts w:ascii="Montserrat;sans-serif" w:hAnsi="Montserrat;sans-serif"/>
          <w:color w:val="000000"/>
          <w:sz w:val="16"/>
        </w:rPr>
        <w:t>(2)</w:t>
      </w:r>
    </w:p>
    <w:p>
      <w:pPr>
        <w:pStyle w:val="TextBody"/>
        <w:bidi w:val="0"/>
        <w:spacing w:before="0" w:after="0"/>
        <w:jc w:val="both"/>
        <w:rPr>
          <w:rFonts w:ascii="Montserrat;sans-serif" w:hAnsi="Montserrat;sans-serif"/>
          <w:color w:val="000000"/>
          <w:sz w:val="16"/>
        </w:rPr>
      </w:pPr>
      <w:r>
        <w:rPr>
          <w:rFonts w:ascii="Montserrat;sans-serif" w:hAnsi="Montserrat;sans-serif"/>
          <w:color w:val="000000"/>
          <w:sz w:val="16"/>
        </w:rPr>
        <w:t>For each covered year, the values included in column (c) for the CAP to our PEO and in column (e) for the average CAP to our non-PEO NEOs reflect the adjustments set forth below. CAP does not mean these amounts were earned or paid during the year. CAP is an amount derived from the starting point of total compensation as presented in the SCT under the methodology prescribed under the SEC’s rules, which is solely based on adjustments to equity award values. Nutanix does not maintain a pension plan and has not paid dividends on its common stock, so no adjustments for these factors were necessary. There are no material differences between the assumptions used to compute the valuation of the equity awards for calculating the CAP from the assumptions used to compute the valuation of the equity awards as of the grant date.</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(3)</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 xml:space="preserve">Cumulative TSR represents the value of an initial fixed investment of $100 on July 31, 2021 in our company (column (f)) and the Nasdaq Computer Index (column (g)) for the fiscal years ended July 31, 2022 through 2026. </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(4)</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The dollar amounts reported represent the amount of net income (loss) reflected in our audited financial statements for the applicable year in accordance with accounting principles generally accepted in the United States.</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(5)</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ARR is defined as the sum of ACV for all subscription contracts from all customers in effect as of a specific period, assuming any subscription contract that expires is renewed on its existing terms. ARR excludes the value of professional services, non-portable software and support contracts and hardware sales. For the purposes of this calculation, we generally assume that the contract term begins on the date when the software is made available to the customer. ACV is defined as the total annualized value of a contract. The total annualized value for a contract is calculated by dividing the total value of the contract by the number of years in the term of such contract. Beginning in fiscal year 2026, our methodology for calculating ARR was updated to align more closely with the timing of when licenses are made available to customers. We have not updated ARR for any prior periods.</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301"/>
        <w:gridCol w:w="2671"/>
      </w:tblGrid>
      <w:tr>
        <w:trPr/>
        <w:tc>
          <w:tcPr>
            <w:tcW w:w="30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68</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215"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206" descr=""/>
                          <pic:cNvPicPr>
                            <a:picLocks noChangeAspect="1" noChangeArrowheads="1"/>
                          </pic:cNvPicPr>
                        </pic:nvPicPr>
                        <pic:blipFill>
                          <a:blip r:embed="rId208"/>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rFonts w:ascii="Montserrat;sans-serif" w:hAnsi="Montserrat;sans-serif"/>
          <w:color w:val="000000"/>
          <w:sz w:val="13"/>
        </w:rPr>
      </w:pPr>
      <w:r>
        <w:rPr>
          <w:rFonts w:ascii="Montserrat;sans-serif" w:hAnsi="Montserrat;sans-serif"/>
          <w:color w:val="000000"/>
          <w:sz w:val="13"/>
        </w:rPr>
        <w:t>Executive Compensation</w:t>
      </w:r>
    </w:p>
    <w:p>
      <w:pPr>
        <w:pStyle w:val="TextBody"/>
        <w:bidi w:val="0"/>
        <w:spacing w:before="60" w:after="283"/>
        <w:jc w:val="right"/>
        <w:rPr>
          <w:rFonts w:ascii="Montserrat;sans-serif" w:hAnsi="Montserrat;sans-serif"/>
          <w:color w:val="000000"/>
          <w:sz w:val="12"/>
        </w:rPr>
      </w:pPr>
      <w:r>
        <w:rPr>
          <w:rFonts w:ascii="Montserrat;sans-serif" w:hAnsi="Montserrat;sans-serif"/>
          <w:color w:val="000000"/>
          <w:sz w:val="12"/>
        </w:rPr>
        <w:t>Pay versus Performance</w:t>
      </w:r>
    </w:p>
    <w:p>
      <w:pPr>
        <w:pStyle w:val="TextBody"/>
        <w:bidi w:val="0"/>
        <w:jc w:val="right"/>
        <w:rPr/>
      </w:pPr>
      <w:r>
        <w:rPr/>
        <w:t> </w:t>
      </w:r>
    </w:p>
    <w:p>
      <w:pPr>
        <w:pStyle w:val="TextBody"/>
        <w:bidi w:val="0"/>
        <w:jc w:val="right"/>
        <w:rPr/>
      </w:pPr>
      <w:r>
        <w:rPr/>
        <w:t> </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(6)</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The table below shows the adjustments made to the SCT totals (columns (b) and (d) above) for our PEO and average for non-PEO NEOs to determine CAP for fiscal year 2026 (columns (c) and (e) above).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1"/>
        <w:gridCol w:w="271"/>
        <w:gridCol w:w="146"/>
        <w:gridCol w:w="6804"/>
        <w:gridCol w:w="146"/>
        <w:gridCol w:w="146"/>
        <w:gridCol w:w="976"/>
        <w:gridCol w:w="166"/>
        <w:gridCol w:w="146"/>
        <w:gridCol w:w="146"/>
        <w:gridCol w:w="886"/>
        <w:gridCol w:w="211"/>
      </w:tblGrid>
      <w:tr>
        <w:trPr/>
        <w:tc>
          <w:tcPr>
            <w:tcW w:w="1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6804"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Montserrat Medium;sans-serif" w:hAnsi="Montserrat;Montserrat Medium;sans-serif"/>
                <w:b/>
                <w:color w:val="7855FA"/>
                <w:sz w:val="14"/>
              </w:rPr>
            </w:pPr>
            <w:r>
              <w:rPr>
                <w:rFonts w:ascii="Montserrat;Montserrat Medium;sans-serif" w:hAnsi="Montserrat;Montserrat Medium;sans-serif"/>
                <w:b/>
                <w:color w:val="7855FA"/>
                <w:sz w:val="14"/>
              </w:rPr>
              <w:t>PEO</w:t>
              <w:br/>
              <w:t>($)</w:t>
            </w:r>
          </w:p>
        </w:tc>
        <w:tc>
          <w:tcPr>
            <w:tcW w:w="16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Montserrat Medium;sans-serif" w:hAnsi="Montserrat;Montserrat Medium;sans-serif"/>
                <w:b/>
                <w:color w:val="7855FA"/>
                <w:sz w:val="14"/>
              </w:rPr>
            </w:pPr>
            <w:r>
              <w:rPr>
                <w:rFonts w:ascii="Montserrat;Montserrat Medium;sans-serif" w:hAnsi="Montserrat;Montserrat Medium;sans-serif"/>
                <w:b/>
                <w:color w:val="7855FA"/>
                <w:sz w:val="14"/>
              </w:rPr>
              <w:t>Average for</w:t>
              <w:br/>
              <w:t>Non-PEO</w:t>
              <w:br/>
              <w:t>NEOs</w:t>
              <w:br/>
              <w:t>($)</w:t>
            </w:r>
          </w:p>
        </w:tc>
        <w:tc>
          <w:tcPr>
            <w:tcW w:w="21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Montserrat Medium;sans-serif" w:hAnsi="Montserrat;Montserrat Medium;sans-serif"/>
                <w:b/>
                <w:color w:val="000000"/>
                <w:sz w:val="14"/>
              </w:rPr>
            </w:pPr>
            <w:r>
              <w:rPr>
                <w:rFonts w:ascii="Montserrat;Montserrat Medium;sans-serif" w:hAnsi="Montserrat;Montserrat Medium;sans-serif"/>
                <w:b/>
                <w:color w:val="000000"/>
                <w:sz w:val="14"/>
              </w:rPr>
              <w:t>Summary Compensation Table - Total Compensation (columns (b) and (d))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29,485,213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8,467,595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Montserrat Medium;sans-serif" w:hAnsi="Montserrat;Montserrat Medium;sans-serif"/>
                <w:b/>
                <w:color w:val="000000"/>
                <w:sz w:val="20"/>
              </w:rPr>
            </w:pPr>
            <w:r>
              <w:rPr>
                <w:rFonts w:ascii="Montserrat;Montserrat Medium;sans-serif" w:hAnsi="Montserrat;Montserrat Medium;sans-serif"/>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Montserrat Medium;sans-serif" w:hAnsi="Montserrat;Montserrat Medium;sans-serif"/>
                <w:b/>
                <w:color w:val="000000"/>
                <w:sz w:val="14"/>
              </w:rPr>
            </w:pPr>
            <w:r>
              <w:rPr>
                <w:rFonts w:ascii="Montserrat;Montserrat Medium;sans-serif" w:hAnsi="Montserrat;Montserrat Medium;sans-serif"/>
                <w:b/>
                <w:color w:val="000000"/>
                <w:sz w:val="14"/>
              </w:rPr>
              <w:t>Grant Date Fair Value of Stock Awards and Option Awards Granted in 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(27,883,613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(7,578,558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Montserrat Medium;sans-serif" w:hAnsi="Montserrat;Montserrat Medium;sans-serif"/>
                <w:b/>
                <w:color w:val="000000"/>
                <w:sz w:val="20"/>
              </w:rPr>
            </w:pPr>
            <w:r>
              <w:rPr>
                <w:rFonts w:ascii="Montserrat;Montserrat Medium;sans-serif" w:hAnsi="Montserrat;Montserrat Medium;sans-serif"/>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Montserrat Medium;sans-serif" w:hAnsi="Montserrat;Montserrat Medium;sans-serif"/>
                <w:b/>
                <w:color w:val="000000"/>
                <w:sz w:val="14"/>
              </w:rPr>
            </w:pPr>
            <w:r>
              <w:rPr>
                <w:rFonts w:ascii="Montserrat;Montserrat Medium;sans-serif" w:hAnsi="Montserrat;Montserrat Medium;sans-serif"/>
                <w:b/>
                <w:color w:val="000000"/>
                <w:sz w:val="14"/>
              </w:rPr>
              <w:t>Fair Value at Fiscal Year-End of Outstanding and Unvested Stock Awards and Option Awards Granted in 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19,628,756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5,334,957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Montserrat Medium;sans-serif" w:hAnsi="Montserrat;Montserrat Medium;sans-serif"/>
                <w:b/>
                <w:color w:val="000000"/>
                <w:sz w:val="20"/>
              </w:rPr>
            </w:pPr>
            <w:r>
              <w:rPr>
                <w:rFonts w:ascii="Montserrat;Montserrat Medium;sans-serif" w:hAnsi="Montserrat;Montserrat Medium;sans-serif"/>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Montserrat Medium;sans-serif" w:hAnsi="Montserrat;Montserrat Medium;sans-serif"/>
                <w:b/>
                <w:color w:val="000000"/>
                <w:sz w:val="14"/>
              </w:rPr>
            </w:pPr>
            <w:r>
              <w:rPr>
                <w:rFonts w:ascii="Montserrat;Montserrat Medium;sans-serif" w:hAnsi="Montserrat;Montserrat Medium;sans-serif"/>
                <w:b/>
                <w:color w:val="000000"/>
                <w:sz w:val="14"/>
              </w:rPr>
              <w:t>Change in Fair Value of Outstanding and Unvested Stock Awards and Option Awards Granted in Prior Fiscal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(41,413,046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(2,810,819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Montserrat Medium;sans-serif" w:hAnsi="Montserrat;Montserrat Medium;sans-serif"/>
                <w:b/>
                <w:color w:val="000000"/>
                <w:sz w:val="20"/>
              </w:rPr>
            </w:pPr>
            <w:r>
              <w:rPr>
                <w:rFonts w:ascii="Montserrat;Montserrat Medium;sans-serif" w:hAnsi="Montserrat;Montserrat Medium;sans-serif"/>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Montserrat Medium;sans-serif" w:hAnsi="Montserrat;Montserrat Medium;sans-serif"/>
                <w:b/>
                <w:color w:val="000000"/>
                <w:sz w:val="14"/>
              </w:rPr>
            </w:pPr>
            <w:r>
              <w:rPr>
                <w:rFonts w:ascii="Montserrat;Montserrat Medium;sans-serif" w:hAnsi="Montserrat;Montserrat Medium;sans-serif"/>
                <w:b/>
                <w:color w:val="000000"/>
                <w:sz w:val="14"/>
              </w:rPr>
              <w:t>Fair Value at Vesting of Stock Awards and Option Awards Granted in Fiscal Year That Vested During 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1,204,854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327,448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Montserrat Medium;sans-serif" w:hAnsi="Montserrat;Montserrat Medium;sans-serif"/>
                <w:b/>
                <w:color w:val="000000"/>
                <w:sz w:val="20"/>
              </w:rPr>
            </w:pPr>
            <w:r>
              <w:rPr>
                <w:rFonts w:ascii="Montserrat;Montserrat Medium;sans-serif" w:hAnsi="Montserrat;Montserrat Medium;sans-serif"/>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Montserrat Medium;sans-serif" w:hAnsi="Montserrat;Montserrat Medium;sans-serif"/>
                <w:b/>
                <w:color w:val="000000"/>
                <w:sz w:val="14"/>
              </w:rPr>
            </w:pPr>
            <w:r>
              <w:rPr>
                <w:rFonts w:ascii="Montserrat;Montserrat Medium;sans-serif" w:hAnsi="Montserrat;Montserrat Medium;sans-serif"/>
                <w:b/>
                <w:color w:val="000000"/>
                <w:sz w:val="14"/>
              </w:rPr>
              <w:t>Change in Fair Value as of Vesting Date of Stock Awards and Option Awards Granted in Prior Fiscal Years For Which Applicable Vesting Conditions Were Satisfied During 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(2,712,097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(693,803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Montserrat Medium;sans-serif" w:hAnsi="Montserrat;Montserrat Medium;sans-serif"/>
                <w:b/>
                <w:color w:val="000000"/>
                <w:sz w:val="20"/>
              </w:rPr>
            </w:pPr>
            <w:r>
              <w:rPr>
                <w:rFonts w:ascii="Montserrat;Montserrat Medium;sans-serif" w:hAnsi="Montserrat;Montserrat Medium;sans-serif"/>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Montserrat Medium;sans-serif" w:hAnsi="Montserrat;Montserrat Medium;sans-serif"/>
                <w:b/>
                <w:color w:val="000000"/>
                <w:sz w:val="14"/>
              </w:rPr>
            </w:pPr>
            <w:r>
              <w:rPr>
                <w:rFonts w:ascii="Montserrat;Montserrat Medium;sans-serif" w:hAnsi="Montserrat;Montserrat Medium;sans-serif"/>
                <w:b/>
                <w:color w:val="000000"/>
                <w:sz w:val="14"/>
              </w:rPr>
              <w:t>Fair Value as of Prior Fiscal Year-End of Stock Awards and Option Awards Granted in Prior Fiscal Years That Failed to Meet Applicable Vesting Conditions During 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rFonts w:ascii="Montserrat;Montserrat Medium;sans-serif" w:hAnsi="Montserrat;Montserrat Medium;sans-serif"/>
                <w:b/>
                <w:color w:val="000000"/>
                <w:sz w:val="20"/>
              </w:rPr>
            </w:pPr>
            <w:r>
              <w:rPr>
                <w:rFonts w:ascii="Montserrat;Montserrat Medium;sans-serif" w:hAnsi="Montserrat;Montserrat Medium;sans-serif"/>
                <w:b/>
                <w:color w:val="000000"/>
                <w:sz w:val="2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6804"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rFonts w:ascii="Montserrat;Montserrat Medium;sans-serif" w:hAnsi="Montserrat;Montserrat Medium;sans-serif"/>
                <w:b/>
                <w:color w:val="000000"/>
                <w:sz w:val="14"/>
              </w:rPr>
            </w:pPr>
            <w:r>
              <w:rPr>
                <w:rFonts w:ascii="Montserrat;Montserrat Medium;sans-serif" w:hAnsi="Montserrat;Montserrat Medium;sans-serif"/>
                <w:b/>
                <w:color w:val="000000"/>
                <w:sz w:val="14"/>
              </w:rPr>
              <w:t>Compensation Actually Paid (columns (c) and (e))</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(21,689,934</w:t>
            </w:r>
          </w:p>
        </w:tc>
        <w:tc>
          <w:tcPr>
            <w:tcW w:w="16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3,046,819</w:t>
            </w:r>
          </w:p>
        </w:tc>
        <w:tc>
          <w:tcPr>
            <w:tcW w:w="21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80" w:after="283"/>
        <w:jc w:val="left"/>
        <w:rPr>
          <w:rFonts w:ascii="Montserrat;sans-serif" w:hAnsi="Montserrat;sans-serif"/>
          <w:b/>
          <w:color w:val="000000"/>
          <w:sz w:val="22"/>
        </w:rPr>
      </w:pPr>
      <w:r>
        <w:rPr>
          <w:rFonts w:ascii="Montserrat;sans-serif" w:hAnsi="Montserrat;sans-serif"/>
          <w:b/>
          <w:color w:val="000000"/>
          <w:sz w:val="22"/>
        </w:rPr>
        <w:t>Analysis of Information Presented in the Pay Versus Performance Table</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As described in more detail in the section “</w:t>
      </w:r>
      <w:r>
        <w:rPr>
          <w:rFonts w:ascii="Montserrat;sans-serif" w:hAnsi="Montserrat;sans-serif"/>
          <w:color w:val="7855FA"/>
          <w:sz w:val="18"/>
        </w:rPr>
        <w:t>Executive Compensation – Compensation Discussion and Analysis</w:t>
      </w:r>
      <w:r>
        <w:rPr>
          <w:rFonts w:ascii="Montserrat;sans-serif" w:hAnsi="Montserrat;sans-serif"/>
          <w:color w:val="000000"/>
          <w:sz w:val="18"/>
        </w:rPr>
        <w:t>,” our company’s executive compensation program reflects a pay-for-performance philosophy. While our company uses several performance measures to align executive compensation with performance, we do not seek to align our company’s performance measures with CAP (as calculated in accordance with SEC rules).</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2641"/>
        <w:gridCol w:w="331"/>
      </w:tblGrid>
      <w:tr>
        <w:trPr/>
        <w:tc>
          <w:tcPr>
            <w:tcW w:w="26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216"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207" descr=""/>
                          <pic:cNvPicPr>
                            <a:picLocks noChangeAspect="1" noChangeArrowheads="1"/>
                          </pic:cNvPicPr>
                        </pic:nvPicPr>
                        <pic:blipFill>
                          <a:blip r:embed="rId209"/>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3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69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rFonts w:ascii="Montserrat;sans-serif" w:hAnsi="Montserrat;sans-serif"/>
          <w:color w:val="000000"/>
          <w:sz w:val="13"/>
        </w:rPr>
      </w:pPr>
      <w:r>
        <w:rPr>
          <w:rFonts w:ascii="Montserrat;sans-serif" w:hAnsi="Montserrat;sans-serif"/>
          <w:color w:val="000000"/>
          <w:sz w:val="13"/>
        </w:rPr>
        <w:t>Executive Compensation</w:t>
      </w:r>
    </w:p>
    <w:p>
      <w:pPr>
        <w:pStyle w:val="TextBody"/>
        <w:bidi w:val="0"/>
        <w:spacing w:before="60" w:after="283"/>
        <w:jc w:val="left"/>
        <w:rPr>
          <w:rFonts w:ascii="Montserrat;sans-serif" w:hAnsi="Montserrat;sans-serif"/>
          <w:color w:val="000000"/>
          <w:sz w:val="12"/>
        </w:rPr>
      </w:pPr>
      <w:r>
        <w:rPr>
          <w:rFonts w:ascii="Montserrat;sans-serif" w:hAnsi="Montserrat;sans-serif"/>
          <w:color w:val="000000"/>
          <w:sz w:val="12"/>
        </w:rPr>
        <w:t>Pay versus Performance</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Relationship Between CAP and TSR</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chart below (i) illustrates the relationship between the amount of CAP to our PEO, the average amount of CAP to our non-PEO NEOs, and our company’s cumulative TSR over the five most recently completed fiscal years; and (ii) compares our cumulative TSR over the five most recently completed fiscal years to that of the Nasdaq Computer Index.</w:t>
      </w:r>
    </w:p>
    <w:p>
      <w:pPr>
        <w:pStyle w:val="TextBody"/>
        <w:bidi w:val="0"/>
        <w:spacing w:before="360" w:after="283"/>
        <w:jc w:val="center"/>
        <w:rPr>
          <w:rFonts w:ascii="Montserrat;sans-serif" w:hAnsi="Montserrat;sans-serif"/>
          <w:b/>
          <w:color w:val="000000"/>
          <w:sz w:val="22"/>
        </w:rPr>
      </w:pPr>
      <w:r>
        <w:rPr>
          <w:rFonts w:ascii="Montserrat;sans-serif" w:hAnsi="Montserrat;sans-serif"/>
          <w:b/>
          <w:color w:val="000000"/>
          <w:sz w:val="22"/>
        </w:rPr>
        <w:t>Compensation Actually Paid vs. TSR</w:t>
      </w:r>
    </w:p>
    <w:p>
      <w:pPr>
        <w:pStyle w:val="TextBody"/>
        <w:bidi w:val="0"/>
        <w:jc w:val="both"/>
        <w:rPr/>
      </w:pPr>
      <w:r>
        <w:rPr/>
        <w:t> </w:t>
      </w:r>
    </w:p>
    <w:p>
      <w:pPr>
        <w:pStyle w:val="TextBody"/>
        <w:bidi w:val="0"/>
        <w:jc w:val="center"/>
        <w:rPr/>
      </w:pPr>
      <w:r>
        <w:rPr/>
        <w:drawing>
          <wp:inline distT="0" distB="0" distL="0" distR="0">
            <wp:extent cx="6858000" cy="3448050"/>
            <wp:effectExtent l="0" t="0" r="0" b="0"/>
            <wp:docPr id="217"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208" descr=""/>
                    <pic:cNvPicPr>
                      <a:picLocks noChangeAspect="1" noChangeArrowheads="1"/>
                    </pic:cNvPicPr>
                  </pic:nvPicPr>
                  <pic:blipFill>
                    <a:blip r:embed="rId210"/>
                    <a:stretch>
                      <a:fillRect/>
                    </a:stretch>
                  </pic:blipFill>
                  <pic:spPr bwMode="auto">
                    <a:xfrm>
                      <a:off x="0" y="0"/>
                      <a:ext cx="6858000" cy="3448050"/>
                    </a:xfrm>
                    <a:prstGeom prst="rect">
                      <a:avLst/>
                    </a:prstGeom>
                  </pic:spPr>
                </pic:pic>
              </a:graphicData>
            </a:graphic>
          </wp:inline>
        </w:drawing>
      </w:r>
    </w:p>
    <w:p>
      <w:pPr>
        <w:pStyle w:val="TextBody"/>
        <w:bidi w:val="0"/>
        <w:jc w:val="both"/>
        <w:rPr/>
      </w:pPr>
      <w:r>
        <w:rPr/>
        <w:t> </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301"/>
        <w:gridCol w:w="2671"/>
      </w:tblGrid>
      <w:tr>
        <w:trPr/>
        <w:tc>
          <w:tcPr>
            <w:tcW w:w="30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70</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218"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209" descr=""/>
                          <pic:cNvPicPr>
                            <a:picLocks noChangeAspect="1" noChangeArrowheads="1"/>
                          </pic:cNvPicPr>
                        </pic:nvPicPr>
                        <pic:blipFill>
                          <a:blip r:embed="rId211"/>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rFonts w:ascii="Montserrat;sans-serif" w:hAnsi="Montserrat;sans-serif"/>
          <w:color w:val="000000"/>
          <w:sz w:val="13"/>
        </w:rPr>
      </w:pPr>
      <w:r>
        <w:rPr>
          <w:rFonts w:ascii="Montserrat;sans-serif" w:hAnsi="Montserrat;sans-serif"/>
          <w:color w:val="000000"/>
          <w:sz w:val="13"/>
        </w:rPr>
        <w:t>Executive Compensation</w:t>
      </w:r>
    </w:p>
    <w:p>
      <w:pPr>
        <w:pStyle w:val="TextBody"/>
        <w:bidi w:val="0"/>
        <w:spacing w:before="60" w:after="283"/>
        <w:jc w:val="right"/>
        <w:rPr>
          <w:rFonts w:ascii="Montserrat;sans-serif" w:hAnsi="Montserrat;sans-serif"/>
          <w:color w:val="000000"/>
          <w:sz w:val="12"/>
        </w:rPr>
      </w:pPr>
      <w:r>
        <w:rPr>
          <w:rFonts w:ascii="Montserrat;sans-serif" w:hAnsi="Montserrat;sans-serif"/>
          <w:color w:val="000000"/>
          <w:sz w:val="12"/>
        </w:rPr>
        <w:t>Pay versus Performance</w:t>
      </w:r>
    </w:p>
    <w:p>
      <w:pPr>
        <w:pStyle w:val="TextBody"/>
        <w:bidi w:val="0"/>
        <w:jc w:val="right"/>
        <w:rPr/>
      </w:pPr>
      <w:r>
        <w:rPr/>
        <w:t> </w:t>
      </w:r>
    </w:p>
    <w:p>
      <w:pPr>
        <w:pStyle w:val="TextBody"/>
        <w:bidi w:val="0"/>
        <w:jc w:val="right"/>
        <w:rPr/>
      </w:pPr>
      <w:r>
        <w:rPr/>
        <w:t> </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Relationship Between CAP and Net Income</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chart below illustrates the CAP to our PEO, the average CAP to our non-PEO NEOs, and our reported GAAP net income for each of the five most recently completed fiscal years.</w:t>
      </w:r>
    </w:p>
    <w:p>
      <w:pPr>
        <w:pStyle w:val="TextBody"/>
        <w:bidi w:val="0"/>
        <w:spacing w:before="360" w:after="283"/>
        <w:jc w:val="center"/>
        <w:rPr>
          <w:rFonts w:ascii="Montserrat;sans-serif" w:hAnsi="Montserrat;sans-serif"/>
          <w:b/>
          <w:color w:val="000000"/>
          <w:sz w:val="22"/>
        </w:rPr>
      </w:pPr>
      <w:r>
        <w:rPr>
          <w:rFonts w:ascii="Montserrat;sans-serif" w:hAnsi="Montserrat;sans-serif"/>
          <w:b/>
          <w:color w:val="000000"/>
          <w:sz w:val="22"/>
        </w:rPr>
        <w:t>Compensation Actually Paid vs. Net Income</w:t>
      </w:r>
    </w:p>
    <w:p>
      <w:pPr>
        <w:pStyle w:val="TextBody"/>
        <w:bidi w:val="0"/>
        <w:jc w:val="both"/>
        <w:rPr/>
      </w:pPr>
      <w:r>
        <w:rPr/>
        <w:t> </w:t>
      </w:r>
    </w:p>
    <w:p>
      <w:pPr>
        <w:pStyle w:val="TextBody"/>
        <w:bidi w:val="0"/>
        <w:jc w:val="center"/>
        <w:rPr/>
      </w:pPr>
      <w:r>
        <w:rPr/>
        <w:drawing>
          <wp:inline distT="0" distB="0" distL="0" distR="0">
            <wp:extent cx="6858000" cy="3419475"/>
            <wp:effectExtent l="0" t="0" r="0" b="0"/>
            <wp:docPr id="219"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210" descr=""/>
                    <pic:cNvPicPr>
                      <a:picLocks noChangeAspect="1" noChangeArrowheads="1"/>
                    </pic:cNvPicPr>
                  </pic:nvPicPr>
                  <pic:blipFill>
                    <a:blip r:embed="rId212"/>
                    <a:stretch>
                      <a:fillRect/>
                    </a:stretch>
                  </pic:blipFill>
                  <pic:spPr bwMode="auto">
                    <a:xfrm>
                      <a:off x="0" y="0"/>
                      <a:ext cx="6858000" cy="3419475"/>
                    </a:xfrm>
                    <a:prstGeom prst="rect">
                      <a:avLst/>
                    </a:prstGeom>
                  </pic:spPr>
                </pic:pic>
              </a:graphicData>
            </a:graphic>
          </wp:inline>
        </w:drawing>
      </w:r>
    </w:p>
    <w:p>
      <w:pPr>
        <w:pStyle w:val="TextBody"/>
        <w:bidi w:val="0"/>
        <w:jc w:val="both"/>
        <w:rPr/>
      </w:pPr>
      <w:r>
        <w:rPr/>
        <w:t> </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2641"/>
        <w:gridCol w:w="331"/>
      </w:tblGrid>
      <w:tr>
        <w:trPr/>
        <w:tc>
          <w:tcPr>
            <w:tcW w:w="26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220"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211" descr=""/>
                          <pic:cNvPicPr>
                            <a:picLocks noChangeAspect="1" noChangeArrowheads="1"/>
                          </pic:cNvPicPr>
                        </pic:nvPicPr>
                        <pic:blipFill>
                          <a:blip r:embed="rId213"/>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3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71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rFonts w:ascii="Montserrat;sans-serif" w:hAnsi="Montserrat;sans-serif"/>
          <w:color w:val="000000"/>
          <w:sz w:val="13"/>
        </w:rPr>
      </w:pPr>
      <w:r>
        <w:rPr>
          <w:rFonts w:ascii="Montserrat;sans-serif" w:hAnsi="Montserrat;sans-serif"/>
          <w:color w:val="000000"/>
          <w:sz w:val="13"/>
        </w:rPr>
        <w:t>Executive Compensation</w:t>
      </w:r>
    </w:p>
    <w:p>
      <w:pPr>
        <w:pStyle w:val="TextBody"/>
        <w:bidi w:val="0"/>
        <w:spacing w:before="60" w:after="283"/>
        <w:jc w:val="left"/>
        <w:rPr>
          <w:rFonts w:ascii="Montserrat;sans-serif" w:hAnsi="Montserrat;sans-serif"/>
          <w:color w:val="000000"/>
          <w:sz w:val="12"/>
        </w:rPr>
      </w:pPr>
      <w:r>
        <w:rPr>
          <w:rFonts w:ascii="Montserrat;sans-serif" w:hAnsi="Montserrat;sans-serif"/>
          <w:color w:val="000000"/>
          <w:sz w:val="12"/>
        </w:rPr>
        <w:t>Pay versus Performance</w:t>
      </w:r>
    </w:p>
    <w:p>
      <w:pPr>
        <w:pStyle w:val="TextBody"/>
        <w:bidi w:val="0"/>
        <w:jc w:val="left"/>
        <w:rPr/>
      </w:pPr>
      <w:r>
        <w:rPr/>
        <w:t> </w:t>
      </w:r>
    </w:p>
    <w:p>
      <w:pPr>
        <w:pStyle w:val="TextBody"/>
        <w:bidi w:val="0"/>
        <w:jc w:val="left"/>
        <w:rPr/>
      </w:pPr>
      <w:r>
        <w:rPr/>
        <w:t> </w:t>
      </w:r>
    </w:p>
    <w:p>
      <w:pPr>
        <w:pStyle w:val="TextBody"/>
        <w:bidi w:val="0"/>
        <w:spacing w:before="180" w:after="283"/>
        <w:jc w:val="left"/>
        <w:rPr>
          <w:rFonts w:ascii="Montserrat;sans-serif" w:hAnsi="Montserrat;sans-serif"/>
          <w:b/>
          <w:color w:val="000000"/>
          <w:sz w:val="22"/>
        </w:rPr>
      </w:pPr>
      <w:r>
        <w:rPr>
          <w:rFonts w:ascii="Montserrat;sans-serif" w:hAnsi="Montserrat;sans-serif"/>
          <w:b/>
          <w:color w:val="000000"/>
          <w:sz w:val="22"/>
        </w:rPr>
        <w:t>Relationship Between CAP and ARR</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chart below illustrates the CAP to our PEO, the average CAP to our non-PEO NEOs, and our reported ARR for each of the five most recently completed fiscal years.</w:t>
      </w:r>
    </w:p>
    <w:p>
      <w:pPr>
        <w:pStyle w:val="TextBody"/>
        <w:bidi w:val="0"/>
        <w:spacing w:before="360" w:after="283"/>
        <w:jc w:val="center"/>
        <w:rPr>
          <w:rFonts w:ascii="Montserrat;sans-serif" w:hAnsi="Montserrat;sans-serif"/>
          <w:b/>
          <w:color w:val="000000"/>
          <w:sz w:val="22"/>
        </w:rPr>
      </w:pPr>
      <w:r>
        <w:rPr>
          <w:rFonts w:ascii="Montserrat;sans-serif" w:hAnsi="Montserrat;sans-serif"/>
          <w:b/>
          <w:color w:val="000000"/>
          <w:sz w:val="22"/>
        </w:rPr>
        <w:t>Compensation Actually Paid vs. ARR</w:t>
      </w:r>
    </w:p>
    <w:p>
      <w:pPr>
        <w:pStyle w:val="TextBody"/>
        <w:bidi w:val="0"/>
        <w:jc w:val="both"/>
        <w:rPr/>
      </w:pPr>
      <w:r>
        <w:rPr/>
        <w:t> </w:t>
      </w:r>
    </w:p>
    <w:p>
      <w:pPr>
        <w:pStyle w:val="TextBody"/>
        <w:bidi w:val="0"/>
        <w:jc w:val="center"/>
        <w:rPr/>
      </w:pPr>
      <w:r>
        <w:rPr/>
        <w:drawing>
          <wp:inline distT="0" distB="0" distL="0" distR="0">
            <wp:extent cx="6677025" cy="3390900"/>
            <wp:effectExtent l="0" t="0" r="0" b="0"/>
            <wp:docPr id="221"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212" descr=""/>
                    <pic:cNvPicPr>
                      <a:picLocks noChangeAspect="1" noChangeArrowheads="1"/>
                    </pic:cNvPicPr>
                  </pic:nvPicPr>
                  <pic:blipFill>
                    <a:blip r:embed="rId214"/>
                    <a:stretch>
                      <a:fillRect/>
                    </a:stretch>
                  </pic:blipFill>
                  <pic:spPr bwMode="auto">
                    <a:xfrm>
                      <a:off x="0" y="0"/>
                      <a:ext cx="6677025" cy="3390900"/>
                    </a:xfrm>
                    <a:prstGeom prst="rect">
                      <a:avLst/>
                    </a:prstGeom>
                  </pic:spPr>
                </pic:pic>
              </a:graphicData>
            </a:graphic>
          </wp:inline>
        </w:drawing>
      </w:r>
    </w:p>
    <w:p>
      <w:pPr>
        <w:pStyle w:val="TextBody"/>
        <w:bidi w:val="0"/>
        <w:jc w:val="both"/>
        <w:rPr/>
      </w:pPr>
      <w:r>
        <w:rPr/>
        <w:t> </w:t>
      </w:r>
    </w:p>
    <w:p>
      <w:pPr>
        <w:pStyle w:val="TextBody"/>
        <w:bidi w:val="0"/>
        <w:jc w:val="both"/>
        <w:rPr/>
      </w:pPr>
      <w:r>
        <w:rPr/>
        <w:t> </w:t>
      </w:r>
    </w:p>
    <w:p>
      <w:pPr>
        <w:pStyle w:val="TextBody"/>
        <w:bidi w:val="0"/>
        <w:jc w:val="both"/>
        <w:rPr>
          <w:rFonts w:ascii="Montserrat;sans-serif" w:hAnsi="Montserrat;sans-serif"/>
          <w:color w:val="000000"/>
          <w:sz w:val="18"/>
        </w:rPr>
      </w:pPr>
      <w:r>
        <w:rPr>
          <w:rFonts w:ascii="Montserrat;sans-serif" w:hAnsi="Montserrat;sans-serif"/>
          <w:color w:val="000000"/>
          <w:sz w:val="18"/>
        </w:rPr>
        <w:t>We have identified the following performance measures (in no specific order) as the most important in aligning the compensation of our NEOs to our financial performance for fiscal year 2026:</w:t>
      </w:r>
    </w:p>
    <w:p>
      <w:pPr>
        <w:pStyle w:val="TextBody"/>
        <w:bidi w:val="0"/>
        <w:spacing w:before="180" w:after="283"/>
        <w:jc w:val="center"/>
        <w:rPr>
          <w:rFonts w:ascii="Montserrat;sans-serif" w:hAnsi="Montserrat;sans-serif"/>
          <w:b/>
          <w:color w:val="7855FA"/>
          <w:sz w:val="18"/>
        </w:rPr>
      </w:pPr>
      <w:r>
        <w:rPr>
          <w:rFonts w:ascii="Montserrat;sans-serif" w:hAnsi="Montserrat;sans-serif"/>
          <w:b/>
          <w:color w:val="7855FA"/>
          <w:sz w:val="18"/>
        </w:rPr>
        <w:t>Tabular List of Most Important Performance Measures</w:t>
      </w:r>
    </w:p>
    <w:tbl>
      <w:tblPr>
        <w:tblW w:w="3196" w:type="dxa"/>
        <w:jc w:val="left"/>
        <w:tblInd w:w="0" w:type="dxa"/>
        <w:tblLayout w:type="fixed"/>
        <w:tblCellMar>
          <w:top w:w="28" w:type="dxa"/>
          <w:left w:w="28" w:type="dxa"/>
          <w:bottom w:w="28" w:type="dxa"/>
          <w:right w:w="28" w:type="dxa"/>
        </w:tblCellMar>
      </w:tblPr>
      <w:tblGrid>
        <w:gridCol w:w="3196"/>
      </w:tblGrid>
      <w:tr>
        <w:trPr/>
        <w:tc>
          <w:tcPr>
            <w:tcW w:w="3196" w:type="dxa"/>
            <w:tcBorders/>
            <w:vAlign w:val="center"/>
          </w:tcPr>
          <w:p>
            <w:pPr>
              <w:pStyle w:val="TableContents"/>
              <w:bidi w:val="0"/>
              <w:spacing w:before="0" w:after="283"/>
              <w:jc w:val="left"/>
              <w:rPr>
                <w:sz w:val="4"/>
                <w:szCs w:val="4"/>
              </w:rPr>
            </w:pPr>
            <w:r>
              <w:rPr>
                <w:sz w:val="4"/>
                <w:szCs w:val="4"/>
              </w:rPr>
            </w:r>
          </w:p>
        </w:tc>
      </w:tr>
      <w:tr>
        <w:trPr/>
        <w:tc>
          <w:tcPr>
            <w:tcW w:w="3196" w:type="dxa"/>
            <w:tcBorders>
              <w:top w:val="single" w:sz="4" w:space="0" w:color="7855FA"/>
              <w:bottom w:val="single" w:sz="4" w:space="0" w:color="000000"/>
            </w:tcBorders>
            <w:tcMar>
              <w:left w:w="0" w:type="dxa"/>
              <w:right w:w="0" w:type="dxa"/>
            </w:tcMar>
            <w:vAlign w:val="center"/>
          </w:tcPr>
          <w:p>
            <w:pPr>
              <w:pStyle w:val="TableContents"/>
              <w:bidi w:val="0"/>
              <w:spacing w:before="60" w:after="60"/>
              <w:jc w:val="left"/>
              <w:rPr>
                <w:rFonts w:ascii="Montserrat;sans-serif" w:hAnsi="Montserrat;sans-serif"/>
                <w:color w:val="000000"/>
                <w:sz w:val="18"/>
              </w:rPr>
            </w:pPr>
            <w:r>
              <w:rPr>
                <w:rFonts w:ascii="Montserrat;sans-serif" w:hAnsi="Montserrat;sans-serif"/>
                <w:color w:val="000000"/>
                <w:sz w:val="18"/>
              </w:rPr>
              <w:t>ARR</w:t>
            </w:r>
          </w:p>
        </w:tc>
      </w:tr>
      <w:tr>
        <w:trPr/>
        <w:tc>
          <w:tcPr>
            <w:tcW w:w="3196" w:type="dxa"/>
            <w:tcBorders>
              <w:bottom w:val="single" w:sz="4" w:space="0" w:color="000000"/>
            </w:tcBorders>
            <w:tcMar>
              <w:top w:w="0" w:type="dxa"/>
              <w:left w:w="0" w:type="dxa"/>
              <w:right w:w="0" w:type="dxa"/>
            </w:tcMar>
            <w:vAlign w:val="center"/>
          </w:tcPr>
          <w:p>
            <w:pPr>
              <w:pStyle w:val="TableContents"/>
              <w:bidi w:val="0"/>
              <w:spacing w:before="60" w:after="60"/>
              <w:jc w:val="left"/>
              <w:rPr>
                <w:rFonts w:ascii="Montserrat;sans-serif" w:hAnsi="Montserrat;sans-serif"/>
                <w:color w:val="000000"/>
                <w:sz w:val="18"/>
              </w:rPr>
            </w:pPr>
            <w:r>
              <w:rPr>
                <w:rFonts w:ascii="Montserrat;sans-serif" w:hAnsi="Montserrat;sans-serif"/>
                <w:color w:val="000000"/>
                <w:sz w:val="18"/>
              </w:rPr>
              <w:t>Non-GAAP Operating Income</w:t>
            </w:r>
          </w:p>
        </w:tc>
      </w:tr>
      <w:tr>
        <w:trPr/>
        <w:tc>
          <w:tcPr>
            <w:tcW w:w="3196" w:type="dxa"/>
            <w:tcBorders>
              <w:bottom w:val="single" w:sz="4" w:space="0" w:color="7855FA"/>
            </w:tcBorders>
            <w:tcMar>
              <w:top w:w="0" w:type="dxa"/>
              <w:left w:w="0" w:type="dxa"/>
              <w:right w:w="0" w:type="dxa"/>
            </w:tcMar>
            <w:vAlign w:val="center"/>
          </w:tcPr>
          <w:p>
            <w:pPr>
              <w:pStyle w:val="TableContents"/>
              <w:bidi w:val="0"/>
              <w:spacing w:before="60" w:after="60"/>
              <w:jc w:val="left"/>
              <w:rPr>
                <w:rFonts w:ascii="Montserrat;sans-serif" w:hAnsi="Montserrat;sans-serif"/>
                <w:color w:val="000000"/>
                <w:sz w:val="18"/>
              </w:rPr>
            </w:pPr>
            <w:r>
              <w:rPr>
                <w:rFonts w:ascii="Montserrat;sans-serif" w:hAnsi="Montserrat;sans-serif"/>
                <w:color w:val="000000"/>
                <w:sz w:val="18"/>
              </w:rPr>
              <w:t>Relative Total Shareholder Return</w:t>
            </w:r>
          </w:p>
        </w:tc>
      </w:tr>
    </w:tbl>
    <w:p>
      <w:pPr>
        <w:pStyle w:val="TextBody"/>
        <w:bidi w:val="0"/>
        <w:jc w:val="both"/>
        <w:rPr/>
      </w:pPr>
      <w:r>
        <w:rPr/>
        <w:t> </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301"/>
        <w:gridCol w:w="2671"/>
      </w:tblGrid>
      <w:tr>
        <w:trPr/>
        <w:tc>
          <w:tcPr>
            <w:tcW w:w="30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72</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222"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213" descr=""/>
                          <pic:cNvPicPr>
                            <a:picLocks noChangeAspect="1" noChangeArrowheads="1"/>
                          </pic:cNvPicPr>
                        </pic:nvPicPr>
                        <pic:blipFill>
                          <a:blip r:embed="rId215"/>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rFonts w:ascii="Montserrat;sans-serif" w:hAnsi="Montserrat;sans-serif"/>
          <w:color w:val="000000"/>
          <w:sz w:val="13"/>
        </w:rPr>
      </w:pPr>
      <w:r>
        <w:rPr>
          <w:rFonts w:ascii="Montserrat;sans-serif" w:hAnsi="Montserrat;sans-serif"/>
          <w:color w:val="000000"/>
          <w:sz w:val="13"/>
        </w:rPr>
        <w:t>Executive Compensation</w:t>
      </w:r>
    </w:p>
    <w:p>
      <w:pPr>
        <w:pStyle w:val="TextBody"/>
        <w:bidi w:val="0"/>
        <w:spacing w:before="60" w:after="283"/>
        <w:jc w:val="right"/>
        <w:rPr>
          <w:rFonts w:ascii="Montserrat;sans-serif" w:hAnsi="Montserrat;sans-serif"/>
          <w:color w:val="000000"/>
          <w:sz w:val="12"/>
        </w:rPr>
      </w:pPr>
      <w:r>
        <w:rPr>
          <w:rFonts w:ascii="Montserrat;sans-serif" w:hAnsi="Montserrat;sans-serif"/>
          <w:color w:val="000000"/>
          <w:sz w:val="12"/>
        </w:rPr>
        <w:t>Executive Compensation Plan Information</w:t>
      </w:r>
    </w:p>
    <w:p>
      <w:pPr>
        <w:pStyle w:val="TextBody"/>
        <w:bidi w:val="0"/>
        <w:jc w:val="right"/>
        <w:rPr/>
      </w:pPr>
      <w:r>
        <w:rPr/>
        <w:t> </w:t>
      </w:r>
    </w:p>
    <w:p>
      <w:pPr>
        <w:pStyle w:val="TextBody"/>
        <w:bidi w:val="0"/>
        <w:jc w:val="right"/>
        <w:rPr/>
      </w:pPr>
      <w:r>
        <w:rPr/>
        <w:t> </w:t>
      </w:r>
    </w:p>
    <w:p>
      <w:pPr>
        <w:pStyle w:val="Heading2"/>
        <w:bidi w:val="0"/>
        <w:jc w:val="left"/>
        <w:rPr>
          <w:rFonts w:ascii="Montserrat;sans-serif" w:hAnsi="Montserrat;sans-serif"/>
          <w:color w:val="7855FA"/>
          <w:sz w:val="28"/>
        </w:rPr>
      </w:pPr>
      <w:bookmarkStart w:id="25" w:name="equity_compensation_plan_information"/>
      <w:bookmarkEnd w:id="25"/>
      <w:r>
        <w:rPr>
          <w:rFonts w:ascii="Montserrat;sans-serif" w:hAnsi="Montserrat;sans-serif"/>
          <w:color w:val="7855FA"/>
          <w:sz w:val="28"/>
        </w:rPr>
        <w:t>Equity Compensation Plan Information</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following table summarizes our equity compensation plan information as of July 31, 2026. Information is included for equity compensation plans approved by our stockholders. We do not have any equity compensation plans not approved by our stockholders.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272"/>
        <w:gridCol w:w="146"/>
        <w:gridCol w:w="176"/>
        <w:gridCol w:w="1444"/>
        <w:gridCol w:w="146"/>
        <w:gridCol w:w="146"/>
        <w:gridCol w:w="418"/>
        <w:gridCol w:w="1202"/>
        <w:gridCol w:w="146"/>
        <w:gridCol w:w="146"/>
        <w:gridCol w:w="181"/>
        <w:gridCol w:w="1486"/>
        <w:gridCol w:w="296"/>
      </w:tblGrid>
      <w:tr>
        <w:trPr/>
        <w:tc>
          <w:tcPr>
            <w:tcW w:w="4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4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72"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Montserrat;sans-serif" w:hAnsi="Montserrat;sans-serif"/>
                <w:b/>
                <w:color w:val="7855FA"/>
                <w:sz w:val="18"/>
              </w:rPr>
            </w:pPr>
            <w:r>
              <w:rPr>
                <w:rFonts w:ascii="Montserrat;sans-serif" w:hAnsi="Montserrat;sans-serif"/>
                <w:b/>
                <w:color w:val="7855FA"/>
                <w:sz w:val="18"/>
              </w:rPr>
              <w:t>Plan Category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360" w:before="0" w:after="283"/>
              <w:jc w:val="right"/>
              <w:rPr>
                <w:rFonts w:ascii="Montserrat;sans-serif" w:hAnsi="Montserrat;sans-serif"/>
                <w:sz w:val="18"/>
              </w:rPr>
            </w:pPr>
            <w:r>
              <w:rPr>
                <w:rFonts w:ascii="Montserrat;sans-serif" w:hAnsi="Montserrat;sans-serif"/>
                <w:b/>
                <w:color w:val="7855FA"/>
                <w:sz w:val="18"/>
              </w:rPr>
              <w:t>(a) Number</w:t>
              <w:br/>
              <w:t>of Securities</w:t>
              <w:br/>
              <w:t>to be Issued</w:t>
              <w:br/>
              <w:t>Upon Exercise</w:t>
              <w:br/>
              <w:t>of Outstanding</w:t>
              <w:br/>
              <w:t>Options,</w:t>
              <w:br/>
              <w:t>Warrants and</w:t>
              <w:br/>
              <w:t>Rights</w:t>
            </w:r>
            <w:r>
              <w:rPr>
                <w:rFonts w:ascii="Montserrat;sans-serif" w:hAnsi="Montserrat;sans-serif"/>
                <w:b/>
                <w:color w:val="7855FA"/>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360" w:before="0" w:after="283"/>
              <w:jc w:val="right"/>
              <w:rPr>
                <w:rFonts w:ascii="Montserrat;sans-serif" w:hAnsi="Montserrat;sans-serif"/>
                <w:sz w:val="18"/>
              </w:rPr>
            </w:pPr>
            <w:r>
              <w:rPr>
                <w:rFonts w:ascii="Montserrat;sans-serif" w:hAnsi="Montserrat;sans-serif"/>
                <w:b/>
                <w:color w:val="7855FA"/>
                <w:sz w:val="18"/>
              </w:rPr>
              <w:t>(b) Weighted</w:t>
              <w:br/>
              <w:t>Average</w:t>
              <w:br/>
              <w:t>Exercise Price</w:t>
              <w:br/>
              <w:t>of Outstanding</w:t>
              <w:br/>
              <w:t>Options,</w:t>
              <w:br/>
              <w:t>Warrants and</w:t>
              <w:br/>
              <w:t>Rights</w:t>
            </w:r>
            <w:r>
              <w:rPr>
                <w:rFonts w:ascii="Montserrat;sans-serif" w:hAnsi="Montserrat;sans-serif"/>
                <w:b/>
                <w:color w:val="7855FA"/>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360" w:before="0" w:after="283"/>
              <w:jc w:val="right"/>
              <w:rPr>
                <w:rFonts w:ascii="Montserrat;sans-serif" w:hAnsi="Montserrat;sans-serif"/>
                <w:sz w:val="18"/>
              </w:rPr>
            </w:pPr>
            <w:r>
              <w:rPr>
                <w:rFonts w:ascii="Montserrat;sans-serif" w:hAnsi="Montserrat;sans-serif"/>
                <w:b/>
                <w:color w:val="7855FA"/>
                <w:sz w:val="18"/>
              </w:rPr>
              <w:t>(c) Number</w:t>
              <w:br/>
              <w:t>of Securities</w:t>
              <w:br/>
              <w:t>Remaining</w:t>
              <w:br/>
              <w:t>Available</w:t>
              <w:br/>
              <w:t>for Future</w:t>
              <w:br/>
              <w:t>Issuance Under</w:t>
              <w:br/>
              <w:t>Equity</w:t>
              <w:br/>
              <w:t>Compensation</w:t>
              <w:br/>
              <w:t>Plans</w:t>
              <w:br/>
              <w:t>(Excluding</w:t>
              <w:br/>
              <w:t>Securities</w:t>
              <w:br/>
              <w:t>Reflected in</w:t>
              <w:br/>
              <w:t>Column (a))</w:t>
            </w:r>
            <w:r>
              <w:rPr>
                <w:rFonts w:ascii="Montserrat;sans-serif" w:hAnsi="Montserrat;sans-serif"/>
                <w:b/>
                <w:color w:val="7855FA"/>
                <w:sz w:val="12"/>
              </w:rPr>
              <w:t>(3)</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72"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620"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620"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667"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427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Equity plans approved by stockholders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12,097,866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22,863,772</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272"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Equity plans not approved by stockholders</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44"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418"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8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Montserrat;sans-serif" w:hAnsi="Montserrat;sans-serif"/>
          <w:color w:val="000000"/>
          <w:sz w:val="16"/>
        </w:rPr>
      </w:pPr>
      <w:r>
        <w:rPr>
          <w:rFonts w:ascii="Montserrat;sans-serif" w:hAnsi="Montserrat;sans-serif"/>
          <w:color w:val="000000"/>
          <w:sz w:val="16"/>
        </w:rPr>
        <w:t>(1)</w:t>
      </w:r>
    </w:p>
    <w:p>
      <w:pPr>
        <w:pStyle w:val="TextBody"/>
        <w:bidi w:val="0"/>
        <w:spacing w:before="0" w:after="0"/>
        <w:jc w:val="both"/>
        <w:rPr>
          <w:rFonts w:ascii="Montserrat;sans-serif" w:hAnsi="Montserrat;sans-serif"/>
          <w:color w:val="000000"/>
          <w:sz w:val="16"/>
        </w:rPr>
      </w:pPr>
      <w:r>
        <w:rPr>
          <w:rFonts w:ascii="Montserrat;sans-serif" w:hAnsi="Montserrat;sans-serif"/>
          <w:color w:val="000000"/>
          <w:sz w:val="16"/>
        </w:rPr>
        <w:t>Includes 1,000 outstanding stock options and 12,096,866 outstanding RSUs.</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(2)</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The weighted average exercise price is calculated based solely on outstanding stock options and does not take into account stock underlying restricted stock units, which generally have no exercise price.</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(3)</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 xml:space="preserve">Includes 15,192,479 shares reserved for future equity grants under our Amended and Restated 2016 Equity Incentive Plan and 7,671,293 shares reserved for future purchases under our 2016 Employee Stock Purchase Plan. </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2641"/>
        <w:gridCol w:w="331"/>
      </w:tblGrid>
      <w:tr>
        <w:trPr/>
        <w:tc>
          <w:tcPr>
            <w:tcW w:w="26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223"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214" descr=""/>
                          <pic:cNvPicPr>
                            <a:picLocks noChangeAspect="1" noChangeArrowheads="1"/>
                          </pic:cNvPicPr>
                        </pic:nvPicPr>
                        <pic:blipFill>
                          <a:blip r:embed="rId216"/>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3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73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pPr>
      <w:r>
        <w:rPr/>
        <w:t> </w:t>
      </w:r>
    </w:p>
    <w:p>
      <w:pPr>
        <w:pStyle w:val="TextBody"/>
        <w:bidi w:val="0"/>
        <w:spacing w:before="60" w:after="283"/>
        <w:jc w:val="left"/>
        <w:rPr/>
      </w:pPr>
      <w:r>
        <w:rPr/>
        <w:t> </w:t>
      </w:r>
    </w:p>
    <w:p>
      <w:pPr>
        <w:pStyle w:val="TextBody"/>
        <w:bidi w:val="0"/>
        <w:jc w:val="left"/>
        <w:rPr/>
      </w:pPr>
      <w:r>
        <w:rPr/>
        <w:t> </w:t>
      </w:r>
    </w:p>
    <w:p>
      <w:pPr>
        <w:pStyle w:val="TextBody"/>
        <w:bidi w:val="0"/>
        <w:jc w:val="left"/>
        <w:rPr/>
      </w:pPr>
      <w:r>
        <w:rPr/>
        <w:t> </w:t>
      </w:r>
    </w:p>
    <w:p>
      <w:pPr>
        <w:pStyle w:val="Heading1"/>
        <w:bidi w:val="0"/>
        <w:jc w:val="left"/>
        <w:rPr/>
      </w:pPr>
      <w:r>
        <w:rPr/>
        <w:t> </w:t>
      </w:r>
    </w:p>
    <w:p>
      <w:pPr>
        <w:pStyle w:val="Heading1"/>
        <w:bidi w:val="0"/>
        <w:jc w:val="left"/>
        <w:rPr>
          <w:rFonts w:ascii="Montserrat;sans-serif" w:hAnsi="Montserrat;sans-serif"/>
          <w:color w:val="000000"/>
          <w:sz w:val="56"/>
        </w:rPr>
      </w:pPr>
      <w:bookmarkStart w:id="26" w:name="additional_proposals"/>
      <w:bookmarkEnd w:id="26"/>
      <w:r>
        <w:rPr>
          <w:rFonts w:ascii="Montserrat;sans-serif" w:hAnsi="Montserrat;sans-serif"/>
          <w:color w:val="000000"/>
          <w:sz w:val="56"/>
        </w:rPr>
        <w:t>Additional Proposals</w:t>
      </w:r>
    </w:p>
    <w:p>
      <w:pPr>
        <w:pStyle w:val="Heading2"/>
        <w:bidi w:val="0"/>
        <w:spacing w:before="360" w:after="283"/>
        <w:jc w:val="left"/>
        <w:rPr>
          <w:rFonts w:ascii="Montserrat;Montserrat Medium;sans-serif" w:hAnsi="Montserrat;Montserrat Medium;sans-serif"/>
          <w:b/>
          <w:color w:val="7855FA"/>
          <w:sz w:val="28"/>
        </w:rPr>
      </w:pPr>
      <w:r>
        <w:rPr>
          <w:rFonts w:ascii="Montserrat;Montserrat Medium;sans-serif" w:hAnsi="Montserrat;Montserrat Medium;sans-serif"/>
          <w:b/>
          <w:color w:val="7855FA"/>
          <w:sz w:val="28"/>
        </w:rPr>
        <w:t>Proposal 4: Approval of an Amendment to the Amended and Restated 2016 Equity Incentive Plan to Increase the Share Reserve</w:t>
      </w:r>
    </w:p>
    <w:p>
      <w:pPr>
        <w:pStyle w:val="TextBody"/>
        <w:bidi w:val="0"/>
        <w:jc w:val="both"/>
        <w:rPr/>
      </w:pPr>
      <w:r>
        <w:rPr/>
        <w:t> </w:t>
      </w:r>
    </w:p>
    <w:tbl>
      <w:tblPr>
        <w:tblW w:w="5558" w:type="dxa"/>
        <w:jc w:val="left"/>
        <w:tblInd w:w="0" w:type="dxa"/>
        <w:tblLayout w:type="fixed"/>
        <w:tblCellMar>
          <w:top w:w="28" w:type="dxa"/>
          <w:left w:w="28" w:type="dxa"/>
          <w:bottom w:w="28" w:type="dxa"/>
          <w:right w:w="28" w:type="dxa"/>
        </w:tblCellMar>
      </w:tblPr>
      <w:tblGrid>
        <w:gridCol w:w="356"/>
        <w:gridCol w:w="146"/>
        <w:gridCol w:w="5056"/>
      </w:tblGrid>
      <w:tr>
        <w:trPr/>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56" w:type="dxa"/>
            <w:tcBorders/>
            <w:vAlign w:val="center"/>
          </w:tcPr>
          <w:p>
            <w:pPr>
              <w:pStyle w:val="TableContents"/>
              <w:bidi w:val="0"/>
              <w:spacing w:before="0" w:after="283"/>
              <w:jc w:val="left"/>
              <w:rPr>
                <w:sz w:val="4"/>
                <w:szCs w:val="4"/>
              </w:rPr>
            </w:pPr>
            <w:r>
              <w:rPr>
                <w:sz w:val="4"/>
                <w:szCs w:val="4"/>
              </w:rPr>
            </w:r>
          </w:p>
        </w:tc>
      </w:tr>
      <w:tr>
        <w:trPr/>
        <w:tc>
          <w:tcPr>
            <w:tcW w:w="356" w:type="dxa"/>
            <w:tcBorders/>
            <w:shd w:fill="7855F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7855FA" w:val="clear"/>
            <w:tcMar>
              <w:top w:w="0" w:type="dxa"/>
              <w:left w:w="0" w:type="dxa"/>
              <w:bottom w:w="0" w:type="dxa"/>
              <w:right w:w="0" w:type="dxa"/>
            </w:tcMar>
            <w:vAlign w:val="center"/>
          </w:tcPr>
          <w:p>
            <w:pPr>
              <w:pStyle w:val="TableContents"/>
              <w:bidi w:val="0"/>
              <w:spacing w:before="0" w:after="283"/>
              <w:jc w:val="left"/>
              <w:rPr/>
            </w:pPr>
            <w:r>
              <w:rPr/>
              <w:t> </w:t>
            </w:r>
          </w:p>
        </w:tc>
        <w:tc>
          <w:tcPr>
            <w:tcW w:w="5056" w:type="dxa"/>
            <w:tcBorders/>
            <w:shd w:fill="7855FA"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356" w:type="dxa"/>
            <w:tcBorders/>
            <w:shd w:fill="7855FA"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61925" cy="161925"/>
                  <wp:effectExtent l="0" t="0" r="0" b="0"/>
                  <wp:docPr id="224"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215" descr=""/>
                          <pic:cNvPicPr>
                            <a:picLocks noChangeAspect="1" noChangeArrowheads="1"/>
                          </pic:cNvPicPr>
                        </pic:nvPicPr>
                        <pic:blipFill>
                          <a:blip r:embed="rId217"/>
                          <a:stretch>
                            <a:fillRect/>
                          </a:stretch>
                        </pic:blipFill>
                        <pic:spPr bwMode="auto">
                          <a:xfrm>
                            <a:off x="0" y="0"/>
                            <a:ext cx="161925" cy="161925"/>
                          </a:xfrm>
                          <a:prstGeom prst="rect">
                            <a:avLst/>
                          </a:prstGeom>
                        </pic:spPr>
                      </pic:pic>
                    </a:graphicData>
                  </a:graphic>
                </wp:inline>
              </w:drawing>
            </w:r>
          </w:p>
        </w:tc>
        <w:tc>
          <w:tcPr>
            <w:tcW w:w="146" w:type="dxa"/>
            <w:tcBorders/>
            <w:shd w:fill="7855FA" w:val="clear"/>
            <w:tcMar>
              <w:top w:w="0" w:type="dxa"/>
              <w:left w:w="0" w:type="dxa"/>
              <w:bottom w:w="0" w:type="dxa"/>
              <w:right w:w="0" w:type="dxa"/>
            </w:tcMar>
            <w:vAlign w:val="center"/>
          </w:tcPr>
          <w:p>
            <w:pPr>
              <w:pStyle w:val="TableContents"/>
              <w:bidi w:val="0"/>
              <w:spacing w:before="0" w:after="283"/>
              <w:jc w:val="left"/>
              <w:rPr/>
            </w:pPr>
            <w:r>
              <w:rPr/>
              <w:t> </w:t>
            </w:r>
          </w:p>
        </w:tc>
        <w:tc>
          <w:tcPr>
            <w:tcW w:w="5056" w:type="dxa"/>
            <w:tcBorders/>
            <w:shd w:fill="7855FA" w:val="clear"/>
            <w:tcMar>
              <w:top w:w="0" w:type="dxa"/>
              <w:left w:w="0" w:type="dxa"/>
              <w:bottom w:w="0" w:type="dxa"/>
              <w:right w:w="0" w:type="dxa"/>
            </w:tcMar>
            <w:vAlign w:val="center"/>
          </w:tcPr>
          <w:p>
            <w:pPr>
              <w:pStyle w:val="TableContents"/>
              <w:bidi w:val="0"/>
              <w:spacing w:before="0" w:after="283"/>
              <w:jc w:val="left"/>
              <w:rPr>
                <w:rFonts w:ascii="Montserrat" w:hAnsi="Montserrat"/>
                <w:sz w:val="17"/>
              </w:rPr>
            </w:pPr>
            <w:r>
              <w:rPr>
                <w:rFonts w:ascii="Montserrat;Montserrat Medium;sans-serif" w:hAnsi="Montserrat;Montserrat Medium;sans-serif"/>
                <w:b/>
                <w:color w:val="FFFFFF"/>
                <w:sz w:val="17"/>
              </w:rPr>
              <w:t>Our Board Recommends a</w:t>
            </w:r>
            <w:r>
              <w:rPr>
                <w:rFonts w:ascii="Montserrat" w:hAnsi="Montserrat"/>
                <w:color w:val="FFFFFF"/>
                <w:sz w:val="17"/>
              </w:rPr>
              <w:t> </w:t>
            </w:r>
            <w:r>
              <w:rPr>
                <w:rFonts w:ascii="Montserrat;sans-serif" w:hAnsi="Montserrat;sans-serif"/>
                <w:b/>
                <w:color w:val="FFFFFF"/>
                <w:sz w:val="17"/>
              </w:rPr>
              <w:t>VOTE FOR</w:t>
            </w:r>
            <w:r>
              <w:rPr>
                <w:rFonts w:ascii="Montserrat" w:hAnsi="Montserrat"/>
                <w:color w:val="FFFFFF"/>
                <w:sz w:val="17"/>
              </w:rPr>
              <w:t> </w:t>
            </w:r>
            <w:r>
              <w:rPr>
                <w:rFonts w:ascii="Montserrat;Montserrat Medium;sans-serif" w:hAnsi="Montserrat;Montserrat Medium;sans-serif"/>
                <w:b/>
                <w:color w:val="FFFFFF"/>
                <w:sz w:val="17"/>
              </w:rPr>
              <w:t>this Proposal 4.</w:t>
            </w:r>
          </w:p>
        </w:tc>
      </w:tr>
      <w:tr>
        <w:trPr/>
        <w:tc>
          <w:tcPr>
            <w:tcW w:w="356" w:type="dxa"/>
            <w:tcBorders/>
            <w:shd w:fill="7855F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7855FA" w:val="clear"/>
            <w:tcMar>
              <w:top w:w="0" w:type="dxa"/>
              <w:left w:w="0" w:type="dxa"/>
              <w:bottom w:w="0" w:type="dxa"/>
              <w:right w:w="0" w:type="dxa"/>
            </w:tcMar>
            <w:vAlign w:val="center"/>
          </w:tcPr>
          <w:p>
            <w:pPr>
              <w:pStyle w:val="TableContents"/>
              <w:bidi w:val="0"/>
              <w:spacing w:before="0" w:after="283"/>
              <w:jc w:val="left"/>
              <w:rPr/>
            </w:pPr>
            <w:r>
              <w:rPr/>
              <w:t> </w:t>
            </w:r>
          </w:p>
        </w:tc>
        <w:tc>
          <w:tcPr>
            <w:tcW w:w="5056" w:type="dxa"/>
            <w:tcBorders/>
            <w:shd w:fill="7855FA" w:val="clear"/>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Overview</w:t>
      </w:r>
    </w:p>
    <w:p>
      <w:pPr>
        <w:pStyle w:val="TextBody"/>
        <w:bidi w:val="0"/>
        <w:spacing w:before="120" w:after="283"/>
        <w:jc w:val="both"/>
        <w:rPr>
          <w:rFonts w:ascii="Montserrat" w:hAnsi="Montserrat"/>
          <w:sz w:val="18"/>
        </w:rPr>
      </w:pPr>
      <w:r>
        <w:rPr>
          <w:rFonts w:ascii="Montserrat;sans-serif" w:hAnsi="Montserrat;sans-serif"/>
          <w:color w:val="000000"/>
          <w:sz w:val="18"/>
        </w:rPr>
        <w:t>We are seeking stockholder approval of an amendment to our Amended and Restated 2016 Equity Incentive Plan (the “Restated Plan”) that would increase the number of shares of our Class A common stock available for future awards by 7,000,000 shares (the “Amendment”). Based on the Compensation Committee’s recommendation, our Board approved the Amendment</w:t>
      </w:r>
      <w:r>
        <w:rPr>
          <w:rFonts w:ascii="Montserrat" w:hAnsi="Montserrat"/>
          <w:color w:val="000000"/>
          <w:sz w:val="18"/>
        </w:rPr>
        <w:t xml:space="preserve"> </w:t>
      </w:r>
      <w:r>
        <w:rPr>
          <w:rFonts w:ascii="Montserrat;sans-serif" w:hAnsi="Montserrat;sans-serif"/>
          <w:color w:val="000000"/>
          <w:sz w:val="18"/>
        </w:rPr>
        <w:t>on October 18, 2026, subject to stockholder approval at the Annual Meeting. Other than the increase in the share reserve, no material provisions of the Restated Plan are being amended. If stockholders do not approve the Amendment, the Restated Plan will remain in effect with its existing share reserve and outstanding awards will not be affected.</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Stockholders approved the Restated Plan in 2025. Since that approval, the Compensation Committee has continued to assess the share reserve in light of anticipated equity needs and the timing of our annual grant cycles. Our November 2026 annual refresh grants are expected to occur before stockholders vote on this proposal at the Annual Meeting. The proposed increase is therefore intended to provide capacity through at least our November 2027 annual refresh cycle, including for anticipated new-hire, promotion and retention awards between those cycles. Seeking approval now is intended to reduce the risk that the available reserve could limit our ability to make anticipated equity awards before stockholders can consider a future reserve increase.</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In determining the number of shares requested, the Compensation Committee considered the existing reserve, projected share requirements, the timing of our annual grant cycles, historical burn rate, anticipated hiring and retention needs, expected forfeitures, award mix, current and pro forma dilution and overhang, estimated plan duration, market practices among comparable companies and feedback from investors regarding equity practices. The requested increase is intended to provide sufficient capacity under a range of reasonably plausible outcomes through at least the November 2027 annual refresh cycle while balancing anticipated compensation needs against potential dilution. Availability of shares under the Restated Plan does not constitute a commitment to grant awards, and actual grants will remain subject to the Compensation Committee’s judgment.</w:t>
      </w:r>
    </w:p>
    <w:p>
      <w:pPr>
        <w:pStyle w:val="TextBody"/>
        <w:bidi w:val="0"/>
        <w:spacing w:before="120" w:after="283"/>
        <w:jc w:val="both"/>
        <w:rPr>
          <w:rFonts w:ascii="Montserrat" w:hAnsi="Montserrat"/>
          <w:sz w:val="18"/>
        </w:rPr>
      </w:pPr>
      <w:r>
        <w:rPr>
          <w:rFonts w:ascii="Montserrat;sans-serif" w:hAnsi="Montserrat;sans-serif"/>
          <w:color w:val="000000"/>
          <w:sz w:val="18"/>
        </w:rPr>
        <w:t>Approval of the Amendment requires the affirmative vote</w:t>
      </w:r>
      <w:r>
        <w:rPr>
          <w:rFonts w:ascii="Montserrat" w:hAnsi="Montserrat"/>
          <w:color w:val="000000"/>
          <w:sz w:val="18"/>
        </w:rPr>
        <w:t xml:space="preserve"> </w:t>
      </w:r>
      <w:r>
        <w:rPr>
          <w:rFonts w:ascii="Montserrat;sans-serif" w:hAnsi="Montserrat;sans-serif"/>
          <w:color w:val="000000"/>
          <w:sz w:val="18"/>
        </w:rPr>
        <w:t>of a majority of the voting power of the shares present at the Annual Meeting or represented by proxy and entitled to vote on the proposal. Broker non-votes will have no effect on</w:t>
      </w:r>
      <w:r>
        <w:rPr>
          <w:rFonts w:ascii="Montserrat" w:hAnsi="Montserrat"/>
          <w:color w:val="000000"/>
          <w:sz w:val="18"/>
        </w:rPr>
        <w:t xml:space="preserve"> </w:t>
      </w:r>
      <w:r>
        <w:rPr>
          <w:rFonts w:ascii="Montserrat;sans-serif" w:hAnsi="Montserrat;sans-serif"/>
          <w:color w:val="000000"/>
          <w:sz w:val="18"/>
        </w:rPr>
        <w:t>the outcome, and abstentions will have the same effect as</w:t>
      </w:r>
      <w:r>
        <w:rPr>
          <w:rFonts w:ascii="Montserrat" w:hAnsi="Montserrat"/>
          <w:color w:val="000000"/>
          <w:sz w:val="18"/>
        </w:rPr>
        <w:t xml:space="preserve"> </w:t>
      </w:r>
      <w:r>
        <w:rPr>
          <w:rFonts w:ascii="Montserrat;sans-serif" w:hAnsi="Montserrat;sans-serif"/>
          <w:color w:val="000000"/>
          <w:sz w:val="18"/>
        </w:rPr>
        <w:t xml:space="preserve">votes </w:t>
      </w:r>
      <w:r>
        <w:rPr>
          <w:rFonts w:ascii="Montserrat;Montserrat Medium;sans-serif" w:hAnsi="Montserrat;Montserrat Medium;sans-serif"/>
          <w:b/>
          <w:color w:val="000000"/>
          <w:sz w:val="18"/>
        </w:rPr>
        <w:t>AGAINST</w:t>
      </w:r>
      <w:r>
        <w:rPr>
          <w:rFonts w:ascii="Montserrat" w:hAnsi="Montserrat"/>
          <w:color w:val="000000"/>
          <w:sz w:val="18"/>
        </w:rPr>
        <w:t xml:space="preserve"> </w:t>
      </w:r>
      <w:r>
        <w:rPr>
          <w:rFonts w:ascii="Montserrat;sans-serif" w:hAnsi="Montserrat;sans-serif"/>
          <w:color w:val="000000"/>
          <w:sz w:val="18"/>
        </w:rPr>
        <w:t>the proposal. If stockholders approve this proposal, the Amendment will become effective on the date of stockholder approval.</w:t>
      </w:r>
      <w:r>
        <w:rPr>
          <w:rFonts w:ascii="Montserrat" w:hAnsi="Montserrat"/>
          <w:color w:val="000000"/>
          <w:sz w:val="18"/>
        </w:rPr>
        <w:t xml:space="preserve"> </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Restated Plan Share Reserve</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 xml:space="preserve">As of the Record Date, October 13, 2026, 14,493,055 shares of our Class A common stock remained available for future grants under the Restated Plan. The Compensation Committee periodically evaluates reserve sufficiency, anticipated equity award activity and dilution considerations in determining whether and when it is appropriate to seek stockholder approval of an increase in the share reserve. </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 xml:space="preserve">The Compensation Committee believes that the requested increase of 7,000,000 shares appropriately balances anticipated compensation needs through the relevant planning horizon with potential dilution and stock-based compensation expense. We actively monitor and manage our equity usage relative to similarly situated companies, including our Compensation Peer Group. </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 xml:space="preserve">If stockholders approve the Amendment, the approximately 14,493,055 shares available for future awards as of the Record Date will be increased by 7,000,000 shares. Shares subject to outstanding or future awards may again become available only to the extent and in the circumstances permitted by the Restated Plan’s share-counting provisions. The precise maximum share formula is described below under “Stock Subject to the Restated Plan”. </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301"/>
        <w:gridCol w:w="2671"/>
      </w:tblGrid>
      <w:tr>
        <w:trPr/>
        <w:tc>
          <w:tcPr>
            <w:tcW w:w="30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74</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225"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216" descr=""/>
                          <pic:cNvPicPr>
                            <a:picLocks noChangeAspect="1" noChangeArrowheads="1"/>
                          </pic:cNvPicPr>
                        </pic:nvPicPr>
                        <pic:blipFill>
                          <a:blip r:embed="rId218"/>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rFonts w:ascii="Montserrat;sans-serif" w:hAnsi="Montserrat;sans-serif"/>
          <w:color w:val="000000"/>
          <w:sz w:val="13"/>
        </w:rPr>
      </w:pPr>
      <w:r>
        <w:rPr>
          <w:rFonts w:ascii="Montserrat;sans-serif" w:hAnsi="Montserrat;sans-serif"/>
          <w:color w:val="000000"/>
          <w:sz w:val="13"/>
        </w:rPr>
        <w:t>Additional Proposals</w:t>
      </w:r>
    </w:p>
    <w:p>
      <w:pPr>
        <w:pStyle w:val="TextBody"/>
        <w:bidi w:val="0"/>
        <w:spacing w:before="60" w:after="283"/>
        <w:jc w:val="right"/>
        <w:rPr>
          <w:rFonts w:ascii="Montserrat;sans-serif" w:hAnsi="Montserrat;sans-serif"/>
          <w:color w:val="000000"/>
          <w:sz w:val="12"/>
        </w:rPr>
      </w:pPr>
      <w:r>
        <w:rPr>
          <w:rFonts w:ascii="Montserrat;sans-serif" w:hAnsi="Montserrat;sans-serif"/>
          <w:color w:val="000000"/>
          <w:sz w:val="12"/>
        </w:rPr>
        <w:t>Proposal 4: Approval of an Amendment to the Amended and Restated 2016 Equity Incentive Plan to Increase the Share Reserve</w:t>
      </w:r>
    </w:p>
    <w:p>
      <w:pPr>
        <w:pStyle w:val="TextBody"/>
        <w:bidi w:val="0"/>
        <w:jc w:val="right"/>
        <w:rPr/>
      </w:pPr>
      <w:r>
        <w:rPr/>
        <w:t> </w:t>
      </w:r>
    </w:p>
    <w:p>
      <w:pPr>
        <w:pStyle w:val="TextBody"/>
        <w:bidi w:val="0"/>
        <w:jc w:val="right"/>
        <w:rPr/>
      </w:pPr>
      <w:r>
        <w:rPr/>
        <w:t> </w:t>
      </w:r>
    </w:p>
    <w:p>
      <w:pPr>
        <w:pStyle w:val="TextBody"/>
        <w:bidi w:val="0"/>
        <w:spacing w:before="360" w:after="283"/>
        <w:jc w:val="both"/>
        <w:rPr>
          <w:rFonts w:ascii="Montserrat;sans-serif" w:hAnsi="Montserrat;sans-serif"/>
          <w:b/>
          <w:i/>
          <w:color w:val="000000"/>
          <w:sz w:val="22"/>
        </w:rPr>
      </w:pPr>
      <w:r>
        <w:rPr>
          <w:rFonts w:ascii="Montserrat;sans-serif" w:hAnsi="Montserrat;sans-serif"/>
          <w:b/>
          <w:i/>
          <w:color w:val="000000"/>
          <w:sz w:val="22"/>
        </w:rPr>
        <w:t>Why Should Stockholders Vote to Approve the Amendment?</w:t>
      </w:r>
    </w:p>
    <w:p>
      <w:pPr>
        <w:pStyle w:val="TextBody"/>
        <w:bidi w:val="0"/>
        <w:spacing w:before="360" w:after="283"/>
        <w:jc w:val="both"/>
        <w:rPr>
          <w:rFonts w:ascii="Montserrat;sans-serif" w:hAnsi="Montserrat;sans-serif"/>
          <w:b/>
          <w:i/>
          <w:color w:val="000000"/>
          <w:sz w:val="18"/>
        </w:rPr>
      </w:pPr>
      <w:r>
        <w:rPr>
          <w:rFonts w:ascii="Montserrat;sans-serif" w:hAnsi="Montserrat;sans-serif"/>
          <w:b/>
          <w:i/>
          <w:color w:val="000000"/>
          <w:sz w:val="18"/>
        </w:rPr>
        <w:t>The Additional Share Reserve Supports Our Ability to Recruit, Incentivize and Retain Talent Needed to Execute Our Strategy</w:t>
      </w:r>
    </w:p>
    <w:p>
      <w:pPr>
        <w:pStyle w:val="TextBody"/>
        <w:bidi w:val="0"/>
        <w:spacing w:before="120" w:after="283"/>
        <w:jc w:val="both"/>
        <w:rPr>
          <w:rFonts w:ascii="Montserrat" w:hAnsi="Montserrat"/>
          <w:sz w:val="18"/>
        </w:rPr>
      </w:pPr>
      <w:r>
        <w:rPr>
          <w:rFonts w:ascii="Montserrat;sans-serif" w:hAnsi="Montserrat;sans-serif"/>
          <w:color w:val="000000"/>
          <w:sz w:val="18"/>
        </w:rPr>
        <w:t xml:space="preserve">We operate in a highly competitive industry and business environment in which we </w:t>
      </w:r>
      <w:r>
        <w:rPr>
          <w:rFonts w:ascii="Times New Roman" w:hAnsi="Times New Roman"/>
          <w:color w:val="000000"/>
          <w:sz w:val="20"/>
        </w:rPr>
        <w:t>r</w:t>
      </w:r>
      <w:r>
        <w:rPr>
          <w:rFonts w:ascii="Montserrat;sans-serif" w:hAnsi="Montserrat;sans-serif"/>
          <w:color w:val="000000"/>
          <w:sz w:val="18"/>
        </w:rPr>
        <w:t>ely on the skills, experience</w:t>
      </w:r>
      <w:r>
        <w:rPr>
          <w:rFonts w:ascii="Montserrat" w:hAnsi="Montserrat"/>
          <w:color w:val="000000"/>
          <w:sz w:val="18"/>
        </w:rPr>
        <w:t xml:space="preserve"> </w:t>
      </w:r>
      <w:r>
        <w:rPr>
          <w:rFonts w:ascii="Montserrat;sans-serif" w:hAnsi="Montserrat;sans-serif"/>
          <w:color w:val="000000"/>
          <w:sz w:val="18"/>
        </w:rPr>
        <w:t>and motivation of technology and other employees to execute our strategy. We believe that our success depends on our ability to attract, incentivize and retain highly skilled employees for positions of substantial responsibility and that</w:t>
      </w:r>
      <w:r>
        <w:rPr>
          <w:rFonts w:ascii="Montserrat" w:hAnsi="Montserrat"/>
          <w:color w:val="000000"/>
          <w:sz w:val="18"/>
        </w:rPr>
        <w:t xml:space="preserve"> </w:t>
      </w:r>
      <w:r>
        <w:rPr>
          <w:rFonts w:ascii="Montserrat;sans-serif" w:hAnsi="Montserrat;sans-serif"/>
          <w:color w:val="000000"/>
          <w:sz w:val="18"/>
        </w:rPr>
        <w:t>equity awards are an important component of a competitive compensation program.</w:t>
      </w:r>
    </w:p>
    <w:p>
      <w:pPr>
        <w:pStyle w:val="TextBody"/>
        <w:bidi w:val="0"/>
        <w:spacing w:before="120" w:after="283"/>
        <w:jc w:val="both"/>
        <w:rPr>
          <w:rFonts w:ascii="Montserrat" w:hAnsi="Montserrat"/>
          <w:sz w:val="18"/>
        </w:rPr>
      </w:pPr>
      <w:r>
        <w:rPr>
          <w:rFonts w:ascii="Montserrat;sans-serif" w:hAnsi="Montserrat;sans-serif"/>
          <w:color w:val="000000"/>
          <w:sz w:val="18"/>
        </w:rPr>
        <w:t>We believe equity awards align the interests of our employees with those of our stockholders. Equity awards provide</w:t>
      </w:r>
      <w:r>
        <w:rPr>
          <w:rFonts w:ascii="Montserrat" w:hAnsi="Montserrat"/>
          <w:color w:val="000000"/>
          <w:sz w:val="18"/>
        </w:rPr>
        <w:t xml:space="preserve"> </w:t>
      </w:r>
      <w:r>
        <w:rPr>
          <w:rFonts w:ascii="Montserrat;sans-serif" w:hAnsi="Montserrat;sans-serif"/>
          <w:color w:val="000000"/>
          <w:sz w:val="18"/>
        </w:rPr>
        <w:t>employees with an ownership stake in our company and provide an effective means of rewarding employees for their contributions to our performance</w:t>
      </w:r>
      <w:r>
        <w:rPr>
          <w:rFonts w:ascii="Montserrat" w:hAnsi="Montserrat"/>
          <w:color w:val="000000"/>
          <w:sz w:val="18"/>
        </w:rPr>
        <w:t xml:space="preserve"> </w:t>
      </w:r>
      <w:r>
        <w:rPr>
          <w:rFonts w:ascii="Montserrat;sans-serif" w:hAnsi="Montserrat;sans-serif"/>
          <w:color w:val="000000"/>
          <w:sz w:val="18"/>
        </w:rPr>
        <w:t>and long-term stockholder value creation.</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We seek to allocate equity awards based on role, level, performance, retention considerations and expected contribution to our future performance. While all employees are eligible for annual equity incentive awards, in recent years approximately 50% of employees have received equity awards as part of their annual compensation.</w:t>
      </w:r>
    </w:p>
    <w:p>
      <w:pPr>
        <w:pStyle w:val="TextBody"/>
        <w:bidi w:val="0"/>
        <w:spacing w:before="120" w:after="283"/>
        <w:jc w:val="both"/>
        <w:rPr>
          <w:rFonts w:ascii="Montserrat" w:hAnsi="Montserrat"/>
          <w:sz w:val="18"/>
        </w:rPr>
      </w:pPr>
      <w:r>
        <w:rPr>
          <w:rFonts w:ascii="Montserrat;sans-serif" w:hAnsi="Montserrat;sans-serif"/>
          <w:color w:val="000000"/>
          <w:sz w:val="18"/>
        </w:rPr>
        <w:t>If stockholders do not approve the Amendment, the Restated Plan will remain in effect with its existing share reserve. However, our ability to continue making equity awards at anticipated levels could become constrained over time, which may reduce our flexibility in recruiting, retaining and incentivizing employees in key strategic areas and may require us to rely more heavily on alternative forms of compensation. If the existing reserve becomes insufficient, alternative compensation approaches could include increased cash compensation or cash-based long-term incentives. These alternatives may be less effective in aligning employee and stockholder interests and could increase cash compensation expense and cash usage.</w:t>
      </w:r>
      <w:r>
        <w:rPr>
          <w:rFonts w:ascii="Montserrat" w:hAnsi="Montserrat"/>
          <w:color w:val="000000"/>
          <w:sz w:val="18"/>
        </w:rPr>
        <w:t xml:space="preserve"> </w:t>
      </w:r>
    </w:p>
    <w:p>
      <w:pPr>
        <w:pStyle w:val="TextBody"/>
        <w:bidi w:val="0"/>
        <w:spacing w:before="360" w:after="283"/>
        <w:jc w:val="both"/>
        <w:rPr>
          <w:rFonts w:ascii="Montserrat;sans-serif" w:hAnsi="Montserrat;sans-serif"/>
          <w:b/>
          <w:i/>
          <w:color w:val="000000"/>
          <w:sz w:val="18"/>
        </w:rPr>
      </w:pPr>
      <w:r>
        <w:rPr>
          <w:rFonts w:ascii="Montserrat;sans-serif" w:hAnsi="Montserrat;sans-serif"/>
          <w:b/>
          <w:i/>
          <w:color w:val="000000"/>
          <w:sz w:val="18"/>
        </w:rPr>
        <w:t>The Restated Plan Includes Sound Governance Features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Restated Plan includes a number of stockholder-favorable provisions:</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sz w:val="18"/>
        </w:rPr>
      </w:pPr>
      <w:r>
        <w:rPr>
          <w:rFonts w:ascii="Montserrat;sans-serif" w:hAnsi="Montserrat;sans-serif"/>
          <w:color w:val="000000"/>
          <w:sz w:val="18"/>
          <w:u w:val="single"/>
        </w:rPr>
        <w:t>No Evergreen Provision</w:t>
      </w:r>
      <w:r>
        <w:rPr>
          <w:rFonts w:ascii="Montserrat;sans-serif" w:hAnsi="Montserrat;sans-serif"/>
          <w:color w:val="000000"/>
          <w:sz w:val="18"/>
        </w:rPr>
        <w:t>. The Restated Plan does not have an annual evergreen feature that provides for an automatic increase in the number of shares available for issuance each year.</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sz w:val="18"/>
        </w:rPr>
      </w:pPr>
      <w:r>
        <w:rPr>
          <w:rFonts w:ascii="Montserrat;sans-serif" w:hAnsi="Montserrat;sans-serif"/>
          <w:color w:val="000000"/>
          <w:sz w:val="18"/>
          <w:u w:val="single"/>
        </w:rPr>
        <w:t>Conservative Share Recycling</w:t>
      </w:r>
      <w:r>
        <w:rPr>
          <w:rFonts w:ascii="Montserrat;sans-serif" w:hAnsi="Montserrat;sans-serif"/>
          <w:color w:val="000000"/>
          <w:sz w:val="18"/>
        </w:rPr>
        <w:t xml:space="preserve">. For any stock appreciation rights and stock options exercised, shares used to satisfy the exercise price do </w:t>
      </w:r>
      <w:r>
        <w:rPr>
          <w:rFonts w:ascii="Montserrat;sans-serif" w:hAnsi="Montserrat;sans-serif"/>
          <w:color w:val="000000"/>
          <w:sz w:val="18"/>
          <w:u w:val="single"/>
        </w:rPr>
        <w:t>not</w:t>
      </w:r>
      <w:r>
        <w:rPr>
          <w:rFonts w:ascii="Montserrat;sans-serif" w:hAnsi="Montserrat;sans-serif"/>
          <w:color w:val="000000"/>
          <w:sz w:val="18"/>
        </w:rPr>
        <w:t xml:space="preserve"> become available for future grant under the Restated Plan. Shares withheld to cover participant taxes also do </w:t>
      </w:r>
      <w:r>
        <w:rPr>
          <w:rFonts w:ascii="Montserrat;sans-serif" w:hAnsi="Montserrat;sans-serif"/>
          <w:color w:val="000000"/>
          <w:sz w:val="18"/>
          <w:u w:val="single"/>
        </w:rPr>
        <w:t>not</w:t>
      </w:r>
      <w:r>
        <w:rPr>
          <w:rFonts w:ascii="Montserrat;sans-serif" w:hAnsi="Montserrat;sans-serif"/>
          <w:color w:val="000000"/>
          <w:sz w:val="18"/>
        </w:rPr>
        <w:t xml:space="preserve"> become available for future grant under the Restated Plan.</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sz w:val="18"/>
        </w:rPr>
      </w:pPr>
      <w:r>
        <w:rPr>
          <w:rFonts w:ascii="Montserrat;sans-serif" w:hAnsi="Montserrat;sans-serif"/>
          <w:color w:val="000000"/>
          <w:sz w:val="18"/>
          <w:u w:val="single"/>
        </w:rPr>
        <w:t>Repricing is Not Allowed without Stockholder Approval</w:t>
      </w:r>
      <w:r>
        <w:rPr>
          <w:rFonts w:ascii="Montserrat;sans-serif" w:hAnsi="Montserrat;sans-serif"/>
          <w:color w:val="000000"/>
          <w:sz w:val="18"/>
        </w:rPr>
        <w:t>. The Restated Plan does not permit awards to be repriced or exchanged for other awards unless our stockholders approve the repricing or exchange.</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sz w:val="18"/>
        </w:rPr>
      </w:pPr>
      <w:r>
        <w:rPr>
          <w:rFonts w:ascii="Montserrat;sans-serif" w:hAnsi="Montserrat;sans-serif"/>
          <w:color w:val="000000"/>
          <w:sz w:val="18"/>
          <w:u w:val="single"/>
        </w:rPr>
        <w:t>No Automatic Single-Trigger Vesting Acceleration upon a Change in Control for Executives</w:t>
      </w:r>
      <w:r>
        <w:rPr>
          <w:rFonts w:ascii="Montserrat;sans-serif" w:hAnsi="Montserrat;sans-serif"/>
          <w:color w:val="000000"/>
          <w:sz w:val="18"/>
        </w:rPr>
        <w:t>. In a change in control, awards will be treated as determined by the administrator. The Restated Plan does not provide for automatic vesting of awards held by executives, employees or consultants solely upon a change in control, except where an award is not assumed or substituted.</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sz w:val="18"/>
        </w:rPr>
      </w:pPr>
      <w:r>
        <w:rPr>
          <w:rFonts w:ascii="Montserrat;sans-serif" w:hAnsi="Montserrat;sans-serif"/>
          <w:color w:val="000000"/>
          <w:sz w:val="18"/>
          <w:u w:val="single"/>
        </w:rPr>
        <w:t>Reasonable Annual Limits on Non-Employee Director Compensation</w:t>
      </w:r>
      <w:r>
        <w:rPr>
          <w:rFonts w:ascii="Montserrat;sans-serif" w:hAnsi="Montserrat;sans-serif"/>
          <w:color w:val="000000"/>
          <w:sz w:val="18"/>
        </w:rPr>
        <w:t>. The Restated Plan sets reasonable limits on the total cash and equity compensation that non-employee directors may receive during each fiscal year for service as a non-employee director.</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sz w:val="18"/>
        </w:rPr>
      </w:pPr>
      <w:r>
        <w:rPr>
          <w:rFonts w:ascii="Montserrat;sans-serif" w:hAnsi="Montserrat;sans-serif"/>
          <w:color w:val="000000"/>
          <w:sz w:val="18"/>
          <w:u w:val="single"/>
        </w:rPr>
        <w:t>Limited Transferability</w:t>
      </w:r>
      <w:r>
        <w:rPr>
          <w:rFonts w:ascii="Montserrat;sans-serif" w:hAnsi="Montserrat;sans-serif"/>
          <w:color w:val="000000"/>
          <w:sz w:val="18"/>
        </w:rPr>
        <w:t>. Awards generally may not be sold, pledged, assigned, hypothecated, transferred, or disposed of, other than by will or the laws of descent and distribution, unless otherwise approved by the administrator on terms the administrator deems appropriate.</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sz w:val="18"/>
        </w:rPr>
      </w:pPr>
      <w:r>
        <w:rPr>
          <w:rFonts w:ascii="Montserrat;sans-serif" w:hAnsi="Montserrat;sans-serif"/>
          <w:color w:val="000000"/>
          <w:sz w:val="18"/>
          <w:u w:val="single"/>
        </w:rPr>
        <w:t>No Tax Gross-ups</w:t>
      </w:r>
      <w:r>
        <w:rPr>
          <w:rFonts w:ascii="Montserrat;sans-serif" w:hAnsi="Montserrat;sans-serif"/>
          <w:color w:val="000000"/>
          <w:sz w:val="18"/>
        </w:rPr>
        <w:t>. The Restated Plan does not provide for tax gross-ups.</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sz w:val="18"/>
        </w:rPr>
      </w:pPr>
      <w:r>
        <w:rPr>
          <w:rFonts w:ascii="Montserrat;sans-serif" w:hAnsi="Montserrat;sans-serif"/>
          <w:color w:val="000000"/>
          <w:sz w:val="18"/>
          <w:u w:val="single"/>
        </w:rPr>
        <w:t>Forfeiture Events</w:t>
      </w:r>
      <w:r>
        <w:rPr>
          <w:rFonts w:ascii="Montserrat;sans-serif" w:hAnsi="Montserrat;sans-serif"/>
          <w:color w:val="000000"/>
          <w:sz w:val="18"/>
        </w:rPr>
        <w:t xml:space="preserve">. Each award is subject, to the extent applicable, to our compensation recovery policy. The administrator may require a participant to forfeit, return, or reimburse all or a portion of an award and amounts paid under the award to the extent required by the compensation recovery policy or applicable law. </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sz w:val="18"/>
        </w:rPr>
      </w:pPr>
      <w:r>
        <w:rPr>
          <w:rFonts w:ascii="Montserrat;sans-serif" w:hAnsi="Montserrat;sans-serif"/>
          <w:color w:val="000000"/>
          <w:sz w:val="18"/>
          <w:u w:val="single"/>
        </w:rPr>
        <w:t>No Dividends Paid on Unvested Awards</w:t>
      </w:r>
      <w:r>
        <w:rPr>
          <w:rFonts w:ascii="Montserrat;sans-serif" w:hAnsi="Montserrat;sans-serif"/>
          <w:color w:val="000000"/>
          <w:sz w:val="18"/>
        </w:rPr>
        <w:t xml:space="preserve">. No dividends or other distributions may be paid with respect to any shares underlying the unvested portion of an award, and no dividends or other distributions may be paid with respect to stock options or stock appreciation rights. </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2641"/>
        <w:gridCol w:w="331"/>
      </w:tblGrid>
      <w:tr>
        <w:trPr/>
        <w:tc>
          <w:tcPr>
            <w:tcW w:w="26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226"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217" descr=""/>
                          <pic:cNvPicPr>
                            <a:picLocks noChangeAspect="1" noChangeArrowheads="1"/>
                          </pic:cNvPicPr>
                        </pic:nvPicPr>
                        <pic:blipFill>
                          <a:blip r:embed="rId219"/>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3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75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rFonts w:ascii="Montserrat;sans-serif" w:hAnsi="Montserrat;sans-serif"/>
          <w:color w:val="000000"/>
          <w:sz w:val="13"/>
        </w:rPr>
      </w:pPr>
      <w:r>
        <w:rPr>
          <w:rFonts w:ascii="Montserrat;sans-serif" w:hAnsi="Montserrat;sans-serif"/>
          <w:color w:val="000000"/>
          <w:sz w:val="13"/>
        </w:rPr>
        <w:t>Additional Proposals</w:t>
      </w:r>
    </w:p>
    <w:p>
      <w:pPr>
        <w:pStyle w:val="TextBody"/>
        <w:bidi w:val="0"/>
        <w:spacing w:before="60" w:after="283"/>
        <w:jc w:val="left"/>
        <w:rPr>
          <w:rFonts w:ascii="Montserrat;sans-serif" w:hAnsi="Montserrat;sans-serif"/>
          <w:color w:val="000000"/>
          <w:sz w:val="12"/>
        </w:rPr>
      </w:pPr>
      <w:r>
        <w:rPr>
          <w:rFonts w:ascii="Montserrat;sans-serif" w:hAnsi="Montserrat;sans-serif"/>
          <w:color w:val="000000"/>
          <w:sz w:val="12"/>
        </w:rPr>
        <w:t>Proposal 4: Approval of an Amendment to the Amended and Restated 2016 Equity Incentive Plan to Increase the Share Reserve</w:t>
      </w:r>
    </w:p>
    <w:p>
      <w:pPr>
        <w:pStyle w:val="TextBody"/>
        <w:bidi w:val="0"/>
        <w:jc w:val="left"/>
        <w:rPr/>
      </w:pPr>
      <w:r>
        <w:rPr/>
        <w:t> </w:t>
      </w:r>
    </w:p>
    <w:p>
      <w:pPr>
        <w:pStyle w:val="TextBody"/>
        <w:bidi w:val="0"/>
        <w:jc w:val="left"/>
        <w:rPr/>
      </w:pPr>
      <w:r>
        <w:rPr/>
        <w:t> </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sz w:val="18"/>
        </w:rPr>
      </w:pPr>
      <w:r>
        <w:rPr>
          <w:rFonts w:ascii="Montserrat;sans-serif" w:hAnsi="Montserrat;sans-serif"/>
          <w:color w:val="000000"/>
          <w:sz w:val="18"/>
          <w:u w:val="single"/>
        </w:rPr>
        <w:t>Minimum Exercise Price</w:t>
      </w:r>
      <w:r>
        <w:rPr>
          <w:rFonts w:ascii="Montserrat;sans-serif" w:hAnsi="Montserrat;sans-serif"/>
          <w:color w:val="000000"/>
          <w:sz w:val="18"/>
        </w:rPr>
        <w:t>. Other than stock options and stock appreciation rights assumed in connection with acquisitions, stock options and stock appreciation rights must have a per share exercise price no less than 100% of fair market value on the grant date.</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sz w:val="18"/>
        </w:rPr>
      </w:pPr>
      <w:r>
        <w:rPr>
          <w:rFonts w:ascii="Montserrat;sans-serif" w:hAnsi="Montserrat;sans-serif"/>
          <w:color w:val="000000"/>
          <w:sz w:val="18"/>
          <w:u w:val="single"/>
        </w:rPr>
        <w:t>Administration</w:t>
      </w:r>
      <w:r>
        <w:rPr>
          <w:rFonts w:ascii="Montserrat;sans-serif" w:hAnsi="Montserrat;sans-serif"/>
          <w:color w:val="000000"/>
          <w:sz w:val="18"/>
        </w:rPr>
        <w:t>. The Restated Plan is currently administered by the Compensation Committee, which consists entirely of independent non-employee directors.</w:t>
      </w:r>
    </w:p>
    <w:p>
      <w:pPr>
        <w:pStyle w:val="TextBody"/>
        <w:bidi w:val="0"/>
        <w:spacing w:before="360" w:after="283"/>
        <w:jc w:val="both"/>
        <w:rPr>
          <w:rFonts w:ascii="Montserrat;sans-serif" w:hAnsi="Montserrat;sans-serif"/>
          <w:b/>
          <w:i/>
          <w:color w:val="000000"/>
          <w:sz w:val="18"/>
        </w:rPr>
      </w:pPr>
      <w:r>
        <w:rPr>
          <w:rFonts w:ascii="Montserrat;sans-serif" w:hAnsi="Montserrat;sans-serif"/>
          <w:b/>
          <w:i/>
          <w:color w:val="000000"/>
          <w:sz w:val="18"/>
        </w:rPr>
        <w:t>We Have Used The Restated Plan Responsibly</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We recognize that equity compensation may dilute existing stockholders and seek to balance anticipated compensation needs with responsible equity usage. As part of the process used to determine the requested increase, the Compensation Committee and Board reviewed analyses prepared by management in consultation with the Compensation Committee’s independent compensation consultant, including the burn rate, dilution, overhang, reserve-duration and share-usage information discussed below. If approved, the 7,000,000 additional shares available for grant under the Restated Plan would represent approximately 2.6% of the 272,732,283 shares of Class A common stock outstanding as of the Record Date. Our Board believes the requested increase represents a reasonable balance between anticipated compensation needs and potential dilution.</w:t>
      </w:r>
    </w:p>
    <w:p>
      <w:pPr>
        <w:pStyle w:val="TextBody"/>
        <w:bidi w:val="0"/>
        <w:spacing w:before="120" w:after="283"/>
        <w:jc w:val="both"/>
        <w:rPr>
          <w:rFonts w:ascii="Montserrat" w:hAnsi="Montserrat"/>
          <w:sz w:val="18"/>
        </w:rPr>
      </w:pPr>
      <w:r>
        <w:rPr>
          <w:rFonts w:ascii="Montserrat;sans-serif" w:hAnsi="Montserrat;sans-serif"/>
          <w:color w:val="000000"/>
          <w:sz w:val="18"/>
          <w:u w:val="single"/>
        </w:rPr>
        <w:t>Historical Grant Practices</w:t>
      </w:r>
      <w:r>
        <w:rPr>
          <w:rFonts w:ascii="Montserrat;sans-serif" w:hAnsi="Montserrat;sans-serif"/>
          <w:color w:val="000000"/>
          <w:sz w:val="18"/>
        </w:rPr>
        <w:t>. The Board considered the historical numbers of time-based RSUs and PRSUs granted during</w:t>
      </w:r>
      <w:r>
        <w:rPr>
          <w:rFonts w:ascii="Montserrat" w:hAnsi="Montserrat"/>
          <w:color w:val="000000"/>
          <w:sz w:val="18"/>
        </w:rPr>
        <w:t xml:space="preserve"> </w:t>
      </w:r>
      <w:r>
        <w:rPr>
          <w:rFonts w:ascii="Montserrat;sans-serif" w:hAnsi="Montserrat;sans-serif"/>
          <w:color w:val="000000"/>
          <w:sz w:val="18"/>
        </w:rPr>
        <w:t>the past three fiscal years. Annual share usage, or burn rate,</w:t>
      </w:r>
      <w:r>
        <w:rPr>
          <w:rFonts w:ascii="Montserrat" w:hAnsi="Montserrat"/>
          <w:color w:val="000000"/>
          <w:sz w:val="18"/>
        </w:rPr>
        <w:t xml:space="preserve"> </w:t>
      </w:r>
      <w:r>
        <w:rPr>
          <w:rFonts w:ascii="Montserrat;sans-serif" w:hAnsi="Montserrat;sans-serif"/>
          <w:color w:val="000000"/>
          <w:sz w:val="18"/>
        </w:rPr>
        <w:t>was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088"/>
        <w:gridCol w:w="146"/>
        <w:gridCol w:w="1389"/>
        <w:gridCol w:w="146"/>
        <w:gridCol w:w="1389"/>
        <w:gridCol w:w="146"/>
        <w:gridCol w:w="1389"/>
        <w:gridCol w:w="146"/>
        <w:gridCol w:w="1366"/>
      </w:tblGrid>
      <w:tr>
        <w:trPr/>
        <w:tc>
          <w:tcPr>
            <w:tcW w:w="40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408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Montserrat;sans-serif" w:hAnsi="Montserrat;sans-serif"/>
                <w:sz w:val="16"/>
              </w:rPr>
            </w:pPr>
            <w:r>
              <w:rPr>
                <w:rFonts w:ascii="Montserrat;sans-serif" w:hAnsi="Montserrat;sans-serif"/>
                <w:b/>
                <w:color w:val="7855FA"/>
                <w:sz w:val="16"/>
              </w:rPr>
              <w:t>Annual Share Usage</w:t>
            </w:r>
            <w:r>
              <w:rPr>
                <w:rFonts w:ascii="Montserrat;sans-serif" w:hAnsi="Montserrat;sans-serif"/>
                <w:color w:val="7855FA"/>
                <w:sz w:val="16"/>
              </w:rPr>
              <w:t xml:space="preserve"> </w:t>
            </w:r>
            <w:r>
              <w:rPr>
                <w:rFonts w:ascii="Montserrat;sans-serif" w:hAnsi="Montserrat;sans-serif"/>
                <w:b/>
                <w:color w:val="7855FA"/>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6"/>
              </w:rPr>
            </w:pPr>
            <w:r>
              <w:rPr>
                <w:rFonts w:ascii="Montserrat;sans-serif" w:hAnsi="Montserrat;sans-serif"/>
                <w:b/>
                <w:color w:val="7855FA"/>
                <w:sz w:val="16"/>
              </w:rPr>
              <w:t>Fiscal Year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6"/>
              </w:rPr>
            </w:pPr>
            <w:r>
              <w:rPr>
                <w:rFonts w:ascii="Montserrat;sans-serif" w:hAnsi="Montserrat;sans-serif"/>
                <w:b/>
                <w:color w:val="7855FA"/>
                <w:sz w:val="16"/>
              </w:rPr>
              <w:t>Fiscal Year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6"/>
              </w:rPr>
            </w:pPr>
            <w:r>
              <w:rPr>
                <w:rFonts w:ascii="Montserrat;sans-serif" w:hAnsi="Montserrat;sans-serif"/>
                <w:b/>
                <w:color w:val="7855FA"/>
                <w:sz w:val="16"/>
              </w:rPr>
              <w:t>Fiscal Year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6"/>
              </w:rPr>
            </w:pPr>
            <w:r>
              <w:rPr>
                <w:rFonts w:ascii="Montserrat;sans-serif" w:hAnsi="Montserrat;sans-serif"/>
                <w:b/>
                <w:color w:val="7855FA"/>
                <w:sz w:val="16"/>
              </w:rPr>
              <w:t>3-Year Average</w:t>
            </w:r>
          </w:p>
        </w:tc>
      </w:tr>
      <w:tr>
        <w:trPr/>
        <w:tc>
          <w:tcPr>
            <w:tcW w:w="4088"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389"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389"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389"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366"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408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sans-serif" w:hAnsi="Montserrat;sans-serif"/>
                <w:color w:val="000000"/>
                <w:sz w:val="16"/>
              </w:rPr>
            </w:pPr>
            <w:r>
              <w:rPr>
                <w:rFonts w:ascii="Montserrat;sans-serif" w:hAnsi="Montserrat;sans-serif"/>
                <w:color w:val="000000"/>
                <w:sz w:val="16"/>
              </w:rPr>
              <w:t>Stock Options Granted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color w:val="000000"/>
              </w:rPr>
            </w:pPr>
            <w:r>
              <w:rPr>
                <w:color w:val="000000"/>
              </w:rPr>
              <w:t>—</w:t>
            </w:r>
          </w:p>
        </w:tc>
      </w:tr>
      <w:tr>
        <w:trPr/>
        <w:tc>
          <w:tcPr>
            <w:tcW w:w="408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sans-serif" w:hAnsi="Montserrat;sans-serif"/>
                <w:color w:val="000000"/>
                <w:sz w:val="16"/>
              </w:rPr>
            </w:pPr>
            <w:r>
              <w:rPr>
                <w:rFonts w:ascii="Montserrat;sans-serif" w:hAnsi="Montserrat;sans-serif"/>
                <w:color w:val="000000"/>
                <w:sz w:val="16"/>
              </w:rPr>
              <w:t>RSUs Granted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9,850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5,658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5,315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rFonts w:ascii="Montserrat;sans-serif" w:hAnsi="Montserrat;sans-serif"/>
                <w:color w:val="000000"/>
                <w:sz w:val="16"/>
              </w:rPr>
            </w:pPr>
            <w:r>
              <w:rPr>
                <w:rFonts w:ascii="Montserrat;sans-serif" w:hAnsi="Montserrat;sans-serif"/>
                <w:color w:val="000000"/>
                <w:sz w:val="16"/>
              </w:rPr>
              <w:t>6,941</w:t>
            </w:r>
          </w:p>
        </w:tc>
      </w:tr>
      <w:tr>
        <w:trPr/>
        <w:tc>
          <w:tcPr>
            <w:tcW w:w="408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sans-serif" w:hAnsi="Montserrat;sans-serif"/>
                <w:color w:val="000000"/>
                <w:sz w:val="16"/>
              </w:rPr>
            </w:pPr>
            <w:r>
              <w:rPr>
                <w:rFonts w:ascii="Montserrat;sans-serif" w:hAnsi="Montserrat;sans-serif"/>
                <w:color w:val="000000"/>
                <w:sz w:val="16"/>
              </w:rPr>
              <w:t>PRSUs Granted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1,396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711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694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rFonts w:ascii="Montserrat;sans-serif" w:hAnsi="Montserrat;sans-serif"/>
                <w:color w:val="000000"/>
                <w:sz w:val="16"/>
              </w:rPr>
            </w:pPr>
            <w:r>
              <w:rPr>
                <w:rFonts w:ascii="Montserrat;sans-serif" w:hAnsi="Montserrat;sans-serif"/>
                <w:color w:val="000000"/>
                <w:sz w:val="16"/>
              </w:rPr>
              <w:t>934</w:t>
            </w:r>
          </w:p>
        </w:tc>
      </w:tr>
      <w:tr>
        <w:trPr/>
        <w:tc>
          <w:tcPr>
            <w:tcW w:w="408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sans-serif" w:hAnsi="Montserrat;sans-serif"/>
                <w:color w:val="000000"/>
                <w:sz w:val="16"/>
              </w:rPr>
            </w:pPr>
            <w:r>
              <w:rPr>
                <w:rFonts w:ascii="Montserrat;sans-serif" w:hAnsi="Montserrat;sans-serif"/>
                <w:color w:val="000000"/>
                <w:sz w:val="16"/>
              </w:rPr>
              <w:t>PRSUs Earned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796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1,140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931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rFonts w:ascii="Montserrat;sans-serif" w:hAnsi="Montserrat;sans-serif"/>
                <w:color w:val="000000"/>
                <w:sz w:val="16"/>
              </w:rPr>
            </w:pPr>
            <w:r>
              <w:rPr>
                <w:rFonts w:ascii="Montserrat;sans-serif" w:hAnsi="Montserrat;sans-serif"/>
                <w:color w:val="000000"/>
                <w:sz w:val="16"/>
              </w:rPr>
              <w:t>956</w:t>
            </w:r>
          </w:p>
        </w:tc>
      </w:tr>
      <w:tr>
        <w:trPr/>
        <w:tc>
          <w:tcPr>
            <w:tcW w:w="408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sans-serif" w:hAnsi="Montserrat;sans-serif"/>
                <w:color w:val="000000"/>
                <w:sz w:val="16"/>
              </w:rPr>
            </w:pPr>
            <w:r>
              <w:rPr>
                <w:rFonts w:ascii="Montserrat;sans-serif" w:hAnsi="Montserrat;sans-serif"/>
                <w:color w:val="000000"/>
                <w:sz w:val="16"/>
              </w:rPr>
              <w:t>Total Equity Awards Granted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11,246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6,369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6,009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rFonts w:ascii="Montserrat;sans-serif" w:hAnsi="Montserrat;sans-serif"/>
                <w:color w:val="000000"/>
                <w:sz w:val="16"/>
              </w:rPr>
            </w:pPr>
            <w:r>
              <w:rPr>
                <w:rFonts w:ascii="Montserrat;sans-serif" w:hAnsi="Montserrat;sans-serif"/>
                <w:color w:val="000000"/>
                <w:sz w:val="16"/>
              </w:rPr>
              <w:t>7,875</w:t>
            </w:r>
          </w:p>
        </w:tc>
      </w:tr>
      <w:tr>
        <w:trPr/>
        <w:tc>
          <w:tcPr>
            <w:tcW w:w="408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sans-serif" w:hAnsi="Montserrat;sans-serif"/>
                <w:color w:val="000000"/>
                <w:sz w:val="16"/>
              </w:rPr>
            </w:pPr>
            <w:r>
              <w:rPr>
                <w:rFonts w:ascii="Montserrat;sans-serif" w:hAnsi="Montserrat;sans-serif"/>
                <w:color w:val="000000"/>
                <w:sz w:val="16"/>
              </w:rPr>
              <w:t>Basic Wtd. Avg. Shares of Class A Common Stock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244,743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267,479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268,691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rFonts w:ascii="Montserrat;sans-serif" w:hAnsi="Montserrat;sans-serif"/>
                <w:color w:val="000000"/>
                <w:sz w:val="16"/>
              </w:rPr>
            </w:pPr>
            <w:r>
              <w:rPr>
                <w:rFonts w:ascii="Montserrat;sans-serif" w:hAnsi="Montserrat;sans-serif"/>
                <w:color w:val="000000"/>
                <w:sz w:val="16"/>
              </w:rPr>
              <w:t>260,304</w:t>
            </w:r>
          </w:p>
        </w:tc>
      </w:tr>
      <w:tr>
        <w:trPr/>
        <w:tc>
          <w:tcPr>
            <w:tcW w:w="4088"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sans-serif" w:hAnsi="Montserrat;sans-serif"/>
                <w:color w:val="000000"/>
                <w:sz w:val="16"/>
              </w:rPr>
            </w:pPr>
            <w:r>
              <w:rPr>
                <w:rFonts w:ascii="Montserrat;sans-serif" w:hAnsi="Montserrat;sans-serif"/>
                <w:color w:val="000000"/>
                <w:sz w:val="16"/>
              </w:rPr>
              <w:t>Annual Share Usage (burn rate)</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389"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4.6%</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389"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2.4%</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389"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2.2%</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3.1%</w:t>
            </w:r>
          </w:p>
        </w:tc>
      </w:tr>
    </w:tbl>
    <w:p>
      <w:pPr>
        <w:pStyle w:val="TextBody"/>
        <w:bidi w:val="0"/>
        <w:jc w:val="both"/>
        <w:rPr/>
      </w:pPr>
      <w:r>
        <w:rPr/>
        <w:t> </w:t>
      </w:r>
    </w:p>
    <w:p>
      <w:pPr>
        <w:pStyle w:val="TextBody"/>
        <w:bidi w:val="0"/>
        <w:jc w:val="both"/>
        <w:rPr>
          <w:rFonts w:ascii="Montserrat;sans-serif" w:hAnsi="Montserrat;sans-serif"/>
          <w:color w:val="000000"/>
          <w:sz w:val="18"/>
        </w:rPr>
      </w:pPr>
      <w:r>
        <w:rPr>
          <w:rFonts w:ascii="Montserrat;sans-serif" w:hAnsi="Montserrat;sans-serif"/>
          <w:color w:val="000000"/>
          <w:sz w:val="18"/>
        </w:rPr>
        <w:t xml:space="preserve">We have demonstrated discipline in our use of equity and we remain committed to responsible equity stewardship, effective dilution management, and alignment with stockholder interests. As shown above, our annual burn rate, which we define as the number of shares subject to equity awards granted in a year divided by the weighted average basic shares of Class A common stock outstanding for that fiscal year, was 2.2% in fiscal year 2026, and the average of our annual burn rates for fiscal years 2024 through 2026 was 3.1%. Our calculation does not reduce grants for forfeitures, cancellations, or shares withheld to satisfy tax obligations. Those items may reduce the number of shares actually issued and outstanding and, therefore, dilution arising from equity compensation. </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Information regarding our equity compensation plans as of July 31, 2026 is presented in the section titled “</w:t>
      </w:r>
      <w:r>
        <w:rPr>
          <w:rFonts w:ascii="Montserrat;sans-serif" w:hAnsi="Montserrat;sans-serif"/>
          <w:color w:val="7855FA"/>
          <w:sz w:val="18"/>
        </w:rPr>
        <w:t>Equity Compensation Plan Information</w:t>
      </w:r>
      <w:r>
        <w:rPr>
          <w:rFonts w:ascii="Montserrat;sans-serif" w:hAnsi="Montserrat;sans-serif"/>
          <w:color w:val="000000"/>
          <w:sz w:val="18"/>
        </w:rPr>
        <w:t>” in this proxy statement.</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301"/>
        <w:gridCol w:w="2671"/>
      </w:tblGrid>
      <w:tr>
        <w:trPr/>
        <w:tc>
          <w:tcPr>
            <w:tcW w:w="30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76</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227"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218" descr=""/>
                          <pic:cNvPicPr>
                            <a:picLocks noChangeAspect="1" noChangeArrowheads="1"/>
                          </pic:cNvPicPr>
                        </pic:nvPicPr>
                        <pic:blipFill>
                          <a:blip r:embed="rId220"/>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rFonts w:ascii="Montserrat;sans-serif" w:hAnsi="Montserrat;sans-serif"/>
          <w:color w:val="000000"/>
          <w:sz w:val="13"/>
        </w:rPr>
      </w:pPr>
      <w:r>
        <w:rPr>
          <w:rFonts w:ascii="Montserrat;sans-serif" w:hAnsi="Montserrat;sans-serif"/>
          <w:color w:val="000000"/>
          <w:sz w:val="13"/>
        </w:rPr>
        <w:t>Additional Proposals</w:t>
      </w:r>
    </w:p>
    <w:p>
      <w:pPr>
        <w:pStyle w:val="TextBody"/>
        <w:bidi w:val="0"/>
        <w:spacing w:before="60" w:after="283"/>
        <w:jc w:val="right"/>
        <w:rPr>
          <w:rFonts w:ascii="Montserrat;sans-serif" w:hAnsi="Montserrat;sans-serif"/>
          <w:color w:val="000000"/>
          <w:sz w:val="12"/>
        </w:rPr>
      </w:pPr>
      <w:r>
        <w:rPr>
          <w:rFonts w:ascii="Montserrat;sans-serif" w:hAnsi="Montserrat;sans-serif"/>
          <w:color w:val="000000"/>
          <w:sz w:val="12"/>
        </w:rPr>
        <w:t>Proposal 4: Approval of an Amendment to the Amended and Restated 2016 Equity Incentive Plan to Increase the Share Reserve</w:t>
      </w:r>
    </w:p>
    <w:p>
      <w:pPr>
        <w:pStyle w:val="TextBody"/>
        <w:bidi w:val="0"/>
        <w:jc w:val="right"/>
        <w:rPr/>
      </w:pPr>
      <w:r>
        <w:rPr/>
        <w:t> </w:t>
      </w:r>
    </w:p>
    <w:p>
      <w:pPr>
        <w:pStyle w:val="TextBody"/>
        <w:bidi w:val="0"/>
        <w:jc w:val="right"/>
        <w:rPr/>
      </w:pPr>
      <w:r>
        <w:rPr/>
        <w:t> </w:t>
      </w:r>
    </w:p>
    <w:p>
      <w:pPr>
        <w:pStyle w:val="TextBody"/>
        <w:bidi w:val="0"/>
        <w:spacing w:before="120" w:after="283"/>
        <w:jc w:val="both"/>
        <w:rPr>
          <w:rFonts w:ascii="Montserrat;sans-serif" w:hAnsi="Montserrat;sans-serif"/>
          <w:sz w:val="18"/>
        </w:rPr>
      </w:pPr>
      <w:r>
        <w:rPr>
          <w:rFonts w:ascii="Montserrat;sans-serif" w:hAnsi="Montserrat;sans-serif"/>
          <w:color w:val="000000"/>
          <w:sz w:val="18"/>
          <w:u w:val="single"/>
        </w:rPr>
        <w:t>Stock Based Compensation Expense Trends Over Time</w:t>
      </w:r>
      <w:r>
        <w:rPr>
          <w:rFonts w:ascii="Montserrat;sans-serif" w:hAnsi="Montserrat;sans-serif"/>
          <w:color w:val="000000"/>
          <w:sz w:val="18"/>
        </w:rPr>
        <w:t>. The Compensation Committee also monitors stock-based compensation expense as part of its oversight of our equity compensation program. The graph below shows total stock-based compensation expense as percentage of revenue for fiscal years 2022 through 2026.</w:t>
      </w:r>
    </w:p>
    <w:p>
      <w:pPr>
        <w:pStyle w:val="TextBody"/>
        <w:bidi w:val="0"/>
        <w:jc w:val="both"/>
        <w:rPr/>
      </w:pPr>
      <w:r>
        <w:rPr/>
        <w:t> </w:t>
      </w:r>
    </w:p>
    <w:p>
      <w:pPr>
        <w:pStyle w:val="TextBody"/>
        <w:bidi w:val="0"/>
        <w:jc w:val="center"/>
        <w:rPr/>
      </w:pPr>
      <w:r>
        <w:rPr/>
        <w:drawing>
          <wp:inline distT="0" distB="0" distL="0" distR="0">
            <wp:extent cx="6858000" cy="3609975"/>
            <wp:effectExtent l="0" t="0" r="0" b="0"/>
            <wp:docPr id="228"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219" descr=""/>
                    <pic:cNvPicPr>
                      <a:picLocks noChangeAspect="1" noChangeArrowheads="1"/>
                    </pic:cNvPicPr>
                  </pic:nvPicPr>
                  <pic:blipFill>
                    <a:blip r:embed="rId221"/>
                    <a:stretch>
                      <a:fillRect/>
                    </a:stretch>
                  </pic:blipFill>
                  <pic:spPr bwMode="auto">
                    <a:xfrm>
                      <a:off x="0" y="0"/>
                      <a:ext cx="6858000" cy="3609975"/>
                    </a:xfrm>
                    <a:prstGeom prst="rect">
                      <a:avLst/>
                    </a:prstGeom>
                  </pic:spPr>
                </pic:pic>
              </a:graphicData>
            </a:graphic>
          </wp:inline>
        </w:drawing>
      </w:r>
    </w:p>
    <w:p>
      <w:pPr>
        <w:pStyle w:val="TextBody"/>
        <w:bidi w:val="0"/>
        <w:jc w:val="both"/>
        <w:rPr/>
      </w:pPr>
      <w:r>
        <w:rPr/>
        <w:t> </w:t>
      </w:r>
    </w:p>
    <w:p>
      <w:pPr>
        <w:pStyle w:val="TextBody"/>
        <w:bidi w:val="0"/>
        <w:jc w:val="both"/>
        <w:rPr>
          <w:rFonts w:ascii="Montserrat;sans-serif" w:hAnsi="Montserrat;sans-serif"/>
          <w:sz w:val="18"/>
        </w:rPr>
      </w:pPr>
      <w:r>
        <w:rPr>
          <w:rFonts w:ascii="Montserrat;sans-serif" w:hAnsi="Montserrat;sans-serif"/>
          <w:color w:val="000000"/>
          <w:sz w:val="18"/>
          <w:u w:val="single"/>
        </w:rPr>
        <w:t>Capital Allocation and Share Repurchases</w:t>
      </w:r>
      <w:r>
        <w:rPr>
          <w:rFonts w:ascii="Montserrat;sans-serif" w:hAnsi="Montserrat;sans-serif"/>
          <w:color w:val="000000"/>
          <w:sz w:val="18"/>
        </w:rPr>
        <w:t>. The Board considers equity usage, potential dilution and broader capital allocation objectives in evaluating the Restated Plan. During fiscal years 2024, 2025 and 2026, we repurchased approximately 2.6 million, 1.6 million and 9.4 million shares of Class A common stock, respectively, including shares repurchased through open-market purchases, privately negotiated transactions and an accelerated share repurchase program. While share repurchases and equity compensation serve different purposes, the Board considers both as part of its overall approach to capital allocation and long-term stockholder value creation.</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20"/>
        <w:gridCol w:w="146"/>
        <w:gridCol w:w="286"/>
        <w:gridCol w:w="1332"/>
        <w:gridCol w:w="146"/>
        <w:gridCol w:w="146"/>
        <w:gridCol w:w="328"/>
        <w:gridCol w:w="1284"/>
        <w:gridCol w:w="146"/>
        <w:gridCol w:w="146"/>
        <w:gridCol w:w="303"/>
        <w:gridCol w:w="1312"/>
        <w:gridCol w:w="146"/>
        <w:gridCol w:w="146"/>
        <w:gridCol w:w="216"/>
        <w:gridCol w:w="1005"/>
        <w:gridCol w:w="297"/>
      </w:tblGrid>
      <w:tr>
        <w:trPr/>
        <w:tc>
          <w:tcPr>
            <w:tcW w:w="2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8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6"/>
              </w:rPr>
            </w:pPr>
            <w:r>
              <w:rPr>
                <w:rFonts w:ascii="Montserrat;sans-serif" w:hAnsi="Montserrat;sans-serif"/>
                <w:b/>
                <w:color w:val="7855FA"/>
                <w:sz w:val="16"/>
              </w:rPr>
              <w:t>Fiscal Year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6"/>
              </w:rPr>
            </w:pPr>
            <w:r>
              <w:rPr>
                <w:rFonts w:ascii="Montserrat;sans-serif" w:hAnsi="Montserrat;sans-serif"/>
                <w:b/>
                <w:color w:val="7855FA"/>
                <w:sz w:val="16"/>
              </w:rPr>
              <w:t>Fiscal Year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6"/>
              </w:rPr>
            </w:pPr>
            <w:r>
              <w:rPr>
                <w:rFonts w:ascii="Montserrat;sans-serif" w:hAnsi="Montserrat;sans-serif"/>
                <w:b/>
                <w:color w:val="7855FA"/>
                <w:sz w:val="16"/>
              </w:rPr>
              <w:t>Fiscal Year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6"/>
              </w:rPr>
            </w:pPr>
            <w:r>
              <w:rPr>
                <w:rFonts w:ascii="Montserrat;sans-serif" w:hAnsi="Montserrat;sans-serif"/>
                <w:b/>
                <w:color w:val="7855FA"/>
                <w:sz w:val="16"/>
              </w:rPr>
              <w:t>3-Year Total</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0"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618"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612"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615"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221"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297"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282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sans-serif" w:hAnsi="Montserrat;sans-serif"/>
                <w:color w:val="000000"/>
                <w:sz w:val="16"/>
              </w:rPr>
            </w:pPr>
            <w:r>
              <w:rPr>
                <w:rFonts w:ascii="Montserrat;sans-serif" w:hAnsi="Montserrat;sans-serif"/>
                <w:color w:val="000000"/>
                <w:sz w:val="16"/>
              </w:rPr>
              <w:t>Total Equity Awards Granted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11,246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6,369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6,009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23,624</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2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sans-serif" w:hAnsi="Montserrat;sans-serif"/>
                <w:color w:val="000000"/>
                <w:sz w:val="16"/>
              </w:rPr>
            </w:pPr>
            <w:r>
              <w:rPr>
                <w:rFonts w:ascii="Montserrat;sans-serif" w:hAnsi="Montserrat;sans-serif"/>
                <w:color w:val="000000"/>
                <w:sz w:val="16"/>
              </w:rPr>
              <w:t>Shares Repurchased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2,583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1,574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9,417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13,574</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20"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sans-serif" w:hAnsi="Montserrat;sans-serif"/>
                <w:color w:val="000000"/>
                <w:sz w:val="16"/>
              </w:rPr>
            </w:pPr>
            <w:r>
              <w:rPr>
                <w:rFonts w:ascii="Montserrat;sans-serif" w:hAnsi="Montserrat;sans-serif"/>
                <w:color w:val="000000"/>
                <w:sz w:val="16"/>
              </w:rPr>
              <w:t>Net Dilution From Equity Awards</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8,663</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4,795</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303"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312"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-3,408</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10,050</w:t>
            </w:r>
          </w:p>
        </w:tc>
        <w:tc>
          <w:tcPr>
            <w:tcW w:w="297"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Montserrat" w:hAnsi="Montserrat"/>
          <w:sz w:val="18"/>
        </w:rPr>
      </w:pPr>
      <w:r>
        <w:rPr>
          <w:rFonts w:ascii="Montserrat;sans-serif" w:hAnsi="Montserrat;sans-serif"/>
          <w:color w:val="000000"/>
          <w:sz w:val="18"/>
          <w:u w:val="single"/>
        </w:rPr>
        <w:t>Forecasted Grant Practices</w:t>
      </w:r>
      <w:r>
        <w:rPr>
          <w:rFonts w:ascii="Montserrat;sans-serif" w:hAnsi="Montserrat;sans-serif"/>
          <w:color w:val="000000"/>
          <w:sz w:val="18"/>
        </w:rPr>
        <w:t>. Based on our current forecasts, we estimate that the shares currently available under the Restated Plan, together with the proposed 7,000,000-share increase, should be sufficient to support anticipated</w:t>
      </w:r>
      <w:r>
        <w:rPr>
          <w:rFonts w:ascii="Montserrat" w:hAnsi="Montserrat"/>
          <w:color w:val="000000"/>
          <w:sz w:val="18"/>
        </w:rPr>
        <w:t xml:space="preserve"> </w:t>
      </w:r>
      <w:r>
        <w:rPr>
          <w:rFonts w:ascii="Montserrat;sans-serif" w:hAnsi="Montserrat;sans-serif"/>
          <w:color w:val="000000"/>
          <w:sz w:val="18"/>
        </w:rPr>
        <w:t>annual refresh grants, new-hire awards, retention grants and other expected equity award activity through at least the November 2027 annual refresh grant cycle. This estimate reflects assumptions regarding workforce composition, hiring and retention needs, award values and mix, expected forfeitures, stock price and business strategy. Actual share usage may be higher or lower than forecast.</w:t>
      </w:r>
    </w:p>
    <w:p>
      <w:pPr>
        <w:pStyle w:val="TextBody"/>
        <w:bidi w:val="0"/>
        <w:spacing w:before="120" w:after="283"/>
        <w:jc w:val="both"/>
        <w:rPr>
          <w:rFonts w:ascii="Montserrat" w:hAnsi="Montserrat"/>
          <w:sz w:val="18"/>
        </w:rPr>
      </w:pPr>
      <w:r>
        <w:rPr>
          <w:rFonts w:ascii="Montserrat;sans-serif" w:hAnsi="Montserrat;sans-serif"/>
          <w:color w:val="000000"/>
          <w:sz w:val="18"/>
          <w:u w:val="single"/>
        </w:rPr>
        <w:t>Awards Outstanding Under Existing Grants and Dilutive Impact</w:t>
      </w:r>
      <w:r>
        <w:rPr>
          <w:rFonts w:ascii="Montserrat;sans-serif" w:hAnsi="Montserrat;sans-serif"/>
          <w:color w:val="000000"/>
          <w:sz w:val="18"/>
        </w:rPr>
        <w:t>. As of the Record Date, approximately 8,876,607 shares were subject to outstanding unvested RSUs, 1,065,001 shares were subject to outstanding PRSUs (assuming target performance), and 0 shares were subject to outstanding stock options, for total outstanding awards covering approximately 9,941,608 shares. Outstanding awards represented approximately 3.6% of the 272,732,283 shares of our Class A common stock outstanding as of the Record Date. In addition, 14,493,055 shares remained available for future awards. If the Amendment is approved, the additional 7,000,000 shares would represent approximately 2.6% of shares outstanding, and total overhang, defined as outstanding awards plus shares available for future awards divided by shares outstanding, would increase from approximately</w:t>
      </w:r>
      <w:r>
        <w:rPr>
          <w:rFonts w:ascii="Montserrat" w:hAnsi="Montserrat"/>
          <w:color w:val="000000"/>
          <w:sz w:val="18"/>
        </w:rPr>
        <w:t xml:space="preserve"> </w:t>
      </w:r>
      <w:r>
        <w:rPr>
          <w:rFonts w:ascii="Montserrat;sans-serif" w:hAnsi="Montserrat;sans-serif"/>
          <w:color w:val="000000"/>
          <w:sz w:val="18"/>
        </w:rPr>
        <w:t>9.0% to approximately 11.5%.</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2641"/>
        <w:gridCol w:w="331"/>
      </w:tblGrid>
      <w:tr>
        <w:trPr/>
        <w:tc>
          <w:tcPr>
            <w:tcW w:w="26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229"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220" descr=""/>
                          <pic:cNvPicPr>
                            <a:picLocks noChangeAspect="1" noChangeArrowheads="1"/>
                          </pic:cNvPicPr>
                        </pic:nvPicPr>
                        <pic:blipFill>
                          <a:blip r:embed="rId222"/>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3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77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rFonts w:ascii="Montserrat;sans-serif" w:hAnsi="Montserrat;sans-serif"/>
          <w:color w:val="000000"/>
          <w:sz w:val="13"/>
        </w:rPr>
      </w:pPr>
      <w:r>
        <w:rPr>
          <w:rFonts w:ascii="Montserrat;sans-serif" w:hAnsi="Montserrat;sans-serif"/>
          <w:color w:val="000000"/>
          <w:sz w:val="13"/>
        </w:rPr>
        <w:t>Additional Proposals</w:t>
      </w:r>
    </w:p>
    <w:p>
      <w:pPr>
        <w:pStyle w:val="TextBody"/>
        <w:bidi w:val="0"/>
        <w:spacing w:before="60" w:after="283"/>
        <w:jc w:val="left"/>
        <w:rPr>
          <w:rFonts w:ascii="Montserrat;sans-serif" w:hAnsi="Montserrat;sans-serif"/>
          <w:color w:val="000000"/>
          <w:sz w:val="12"/>
        </w:rPr>
      </w:pPr>
      <w:r>
        <w:rPr>
          <w:rFonts w:ascii="Montserrat;sans-serif" w:hAnsi="Montserrat;sans-serif"/>
          <w:color w:val="000000"/>
          <w:sz w:val="12"/>
        </w:rPr>
        <w:t>Proposal 4: Approval of an Amendment to the Amended and Restated 2016 Equity Incentive Plan to Increase the Share Reserve</w:t>
      </w:r>
    </w:p>
    <w:p>
      <w:pPr>
        <w:pStyle w:val="TextBody"/>
        <w:bidi w:val="0"/>
        <w:jc w:val="left"/>
        <w:rPr/>
      </w:pPr>
      <w:r>
        <w:rPr/>
        <w:t> </w:t>
      </w:r>
    </w:p>
    <w:p>
      <w:pPr>
        <w:pStyle w:val="TextBody"/>
        <w:bidi w:val="0"/>
        <w:jc w:val="left"/>
        <w:rPr/>
      </w:pPr>
      <w:r>
        <w:rPr/>
        <w:t> </w:t>
      </w:r>
    </w:p>
    <w:p>
      <w:pPr>
        <w:pStyle w:val="TextBody"/>
        <w:bidi w:val="0"/>
        <w:spacing w:before="120" w:after="283"/>
        <w:jc w:val="both"/>
        <w:rPr>
          <w:rFonts w:ascii="Montserrat" w:hAnsi="Montserrat"/>
          <w:sz w:val="18"/>
        </w:rPr>
      </w:pPr>
      <w:r>
        <w:rPr>
          <w:rFonts w:ascii="Montserrat;sans-serif" w:hAnsi="Montserrat;sans-serif"/>
          <w:color w:val="000000"/>
          <w:sz w:val="18"/>
          <w:u w:val="single"/>
        </w:rPr>
        <w:t>Board Review of the Share Request</w:t>
      </w:r>
      <w:r>
        <w:rPr>
          <w:rFonts w:ascii="Montserrat;sans-serif" w:hAnsi="Montserrat;sans-serif"/>
          <w:color w:val="000000"/>
          <w:sz w:val="18"/>
        </w:rPr>
        <w:t>. The Compensation Committee reviewed forecast scenarios using a range of assumptions, including the timing of annual refresh grants, award values and mix, anticipated hiring and retention needs, expected forfeitures, historical share usage, stock price, projected dilution and overhang, expected reserve duration and market practices among comparable companies. Based on that review, the Compensation Committee and the Board determined that the proposed 7,000,000-share increase is appropriate. These forecasts are inherently uncertain, and actual share usage may vary from the scenarios considered. Our executive officers and non-employee directors are eligible to receive awards under the Restated Plan and therefore have an interest in approval of the Amendment. No awards have been approved or granted subject to stockholder approval of the Amendment.</w:t>
      </w:r>
      <w:r>
        <w:rPr>
          <w:rFonts w:ascii="Montserrat" w:hAnsi="Montserrat"/>
          <w:color w:val="000000"/>
          <w:sz w:val="18"/>
        </w:rPr>
        <w:t xml:space="preserve"> </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Summary of the Restated Plan</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 xml:space="preserve">The following paragraphs summarize the principal features of the Restated Plan, as amended, and its operation. However, this summary is not a complete description of the provisions of the Restated Plan and is qualified in its entirety by the specific language of the Restated Plan. A copy of the Restated Plan reflecting the Amendment is provided as </w:t>
      </w:r>
      <w:r>
        <w:rPr>
          <w:rFonts w:ascii="Montserrat;sans-serif" w:hAnsi="Montserrat;sans-serif"/>
          <w:color w:val="000000"/>
          <w:sz w:val="18"/>
          <w:u w:val="single"/>
        </w:rPr>
        <w:t>Appendix B</w:t>
      </w:r>
      <w:r>
        <w:rPr>
          <w:rFonts w:ascii="Montserrat;sans-serif" w:hAnsi="Montserrat;sans-serif"/>
          <w:color w:val="000000"/>
          <w:sz w:val="18"/>
        </w:rPr>
        <w:t xml:space="preserve"> to this proxy statement.</w:t>
      </w:r>
    </w:p>
    <w:p>
      <w:pPr>
        <w:pStyle w:val="TextBody"/>
        <w:bidi w:val="0"/>
        <w:spacing w:before="120" w:after="283"/>
        <w:jc w:val="both"/>
        <w:rPr>
          <w:rFonts w:ascii="Montserrat;sans-serif" w:hAnsi="Montserrat;sans-serif"/>
          <w:sz w:val="18"/>
        </w:rPr>
      </w:pPr>
      <w:r>
        <w:rPr>
          <w:rFonts w:ascii="Montserrat;sans-serif" w:hAnsi="Montserrat;sans-serif"/>
          <w:b/>
          <w:color w:val="000000"/>
          <w:sz w:val="18"/>
        </w:rPr>
        <w:t>Purposes of the Restated Plan.</w:t>
      </w:r>
      <w:r>
        <w:rPr>
          <w:rFonts w:ascii="Montserrat;sans-serif" w:hAnsi="Montserrat;sans-serif"/>
          <w:color w:val="000000"/>
          <w:sz w:val="18"/>
        </w:rPr>
        <w:t xml:space="preserve"> The purposes of the Restated Plan are to attract and retain the best available employees for positions of substantial responsibility, to provide additional incentives to our employees, directors and consultants, and to promote the success of our business, thereby aligning their interests with those of our stockholders. Service providers eligible to participate in the Restated Plan are discussed below.</w:t>
      </w:r>
    </w:p>
    <w:p>
      <w:pPr>
        <w:pStyle w:val="TextBody"/>
        <w:bidi w:val="0"/>
        <w:spacing w:before="120" w:after="283"/>
        <w:jc w:val="both"/>
        <w:rPr>
          <w:rFonts w:ascii="Montserrat;sans-serif" w:hAnsi="Montserrat;sans-serif"/>
          <w:sz w:val="18"/>
        </w:rPr>
      </w:pPr>
      <w:r>
        <w:rPr>
          <w:rFonts w:ascii="Montserrat;sans-serif" w:hAnsi="Montserrat;sans-serif"/>
          <w:b/>
          <w:color w:val="000000"/>
          <w:sz w:val="18"/>
        </w:rPr>
        <w:t>Award Types.</w:t>
      </w:r>
      <w:r>
        <w:rPr>
          <w:rFonts w:ascii="Montserrat;sans-serif" w:hAnsi="Montserrat;sans-serif"/>
          <w:color w:val="000000"/>
          <w:sz w:val="18"/>
        </w:rPr>
        <w:t xml:space="preserve"> The Restated Plan permits the grant of incentive stock options, nonstatutory stock options, restricted stock, restricted stock units, stock appreciation rights, performance units and performance shares. An “incentive stock option” is an incentive stock option within the meaning of Section 422 of the Code. </w:t>
      </w:r>
    </w:p>
    <w:p>
      <w:pPr>
        <w:pStyle w:val="TextBody"/>
        <w:bidi w:val="0"/>
        <w:spacing w:before="120" w:after="283"/>
        <w:jc w:val="both"/>
        <w:rPr>
          <w:rFonts w:ascii="Montserrat;sans-serif" w:hAnsi="Montserrat;sans-serif"/>
          <w:sz w:val="18"/>
        </w:rPr>
      </w:pPr>
      <w:r>
        <w:rPr>
          <w:rFonts w:ascii="Montserrat;sans-serif" w:hAnsi="Montserrat;sans-serif"/>
          <w:b/>
          <w:color w:val="000000"/>
          <w:sz w:val="18"/>
        </w:rPr>
        <w:t>Stock Subject to the Restated Plan.</w:t>
      </w:r>
      <w:r>
        <w:rPr>
          <w:rFonts w:ascii="Montserrat;sans-serif" w:hAnsi="Montserrat;sans-serif"/>
          <w:color w:val="000000"/>
          <w:sz w:val="18"/>
        </w:rPr>
        <w:t xml:space="preserve"> Subject to certain adjustments described below, the maximum aggregate number of shares of our Class A common stock that may be issued under the Restated Plan pursuant to awards granted after the date of stockholder approval of the Amendment will be (i) 14,493,055 shares remaining available for grant under the Restated Plan as of October 13, 2026, reduced by the number of shares subject to awards granted under the Restated Plan after October 13, 2026 and before the Amendment Date, plus (ii) 7,000,000 shares. Additional shares may become available for issuance under the Restated Plan pursuant to the share-counting provisions described below. The shares issued under the Restated Plan may be authorized, but unissued, or reacquired shares of our Class A common stock. Substitute awards granted in substitution for equity awards outstanding under a plan maintained by an entity acquired by or consolidated with us will not reduce the number of shares available for issuance under the Restated Plan. As of October 13, 2026, the closing sale price of a share of our Class A common stock reported on the Nasdaq Global Select Market was $72.88.</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If an award granted under the Restated Plan expires or becomes unexercisable without having been exercised in full, or, with respect to restricted stock, restricted stock units, performance units or performance shares, is forfeited to or repurchased by us due to failure to vest, then the unpurchased shares or, for awards other than stock options or stock appreciation rights, the forfeited or repurchased shares subject to the award will become available for future grant or sale under the Restated Plan (unless the Restated Plan has terminated). With respect to stock appreciation rights, the gross number of shares underlying any portion of a stock appreciation right that is exercised will cease to be available under the Restated Plan. Shares that have been issued under the Restated Plan will not be returned to the Restated Plan or become available for future grant, except that shares issued pursuant to awards of restricted stock, restricted stock units, performance shares or performance units that are repurchased or forfeited due to failure to vest will become available for future grant under the Restated Plan. Shares used to pay the exercise price or purchase price of an award or to satisfy tax withholding obligations related to an award will not become available for future grant or sale under the Restated Plan. To the extent an award under the Restated Plan is paid in cash rather than shares, the cash payment will not reduce the number of shares available for issuance under the Restated Plan. Notwithstanding the foregoing, subject to certain adjustments described below, the maximum number of shares that may be issued upon the exercise of incentive stock options will equal the aggregate number of shares described above, plus, to the extent allowable under Section 422 of the Code and the applicable Treasury Regulations, any shares that become available for issuance under the Restated Plan pursuant to these share-counting provisions.</w:t>
      </w:r>
    </w:p>
    <w:p>
      <w:pPr>
        <w:pStyle w:val="TextBody"/>
        <w:bidi w:val="0"/>
        <w:spacing w:before="120" w:after="283"/>
        <w:jc w:val="both"/>
        <w:rPr>
          <w:rFonts w:ascii="Montserrat;sans-serif" w:hAnsi="Montserrat;sans-serif"/>
          <w:sz w:val="18"/>
        </w:rPr>
      </w:pPr>
      <w:r>
        <w:rPr>
          <w:rFonts w:ascii="Montserrat;sans-serif" w:hAnsi="Montserrat;sans-serif"/>
          <w:b/>
          <w:color w:val="000000"/>
          <w:sz w:val="18"/>
        </w:rPr>
        <w:t>Administration of the Restated Plan.</w:t>
      </w:r>
      <w:r>
        <w:rPr>
          <w:rFonts w:ascii="Montserrat;sans-serif" w:hAnsi="Montserrat;sans-serif"/>
          <w:color w:val="000000"/>
          <w:sz w:val="18"/>
        </w:rPr>
        <w:t xml:space="preserve"> Different committees of one or more members of our Board, or of one or more other individuals satisfying applicable laws appointed by our Board, may administer the Restated Plan with respect to different groups of eligible participants. Except to the extent prohibited by applicable laws, the administrator may delegate to one or more individuals the day-to-day administration of the Restated Plan and any of the functions assigned to it under the Restated Plan, with any such delegation able to be revoked at any time.</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301"/>
        <w:gridCol w:w="2671"/>
      </w:tblGrid>
      <w:tr>
        <w:trPr/>
        <w:tc>
          <w:tcPr>
            <w:tcW w:w="30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78</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230"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21" descr=""/>
                          <pic:cNvPicPr>
                            <a:picLocks noChangeAspect="1" noChangeArrowheads="1"/>
                          </pic:cNvPicPr>
                        </pic:nvPicPr>
                        <pic:blipFill>
                          <a:blip r:embed="rId223"/>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rFonts w:ascii="Montserrat;sans-serif" w:hAnsi="Montserrat;sans-serif"/>
          <w:color w:val="000000"/>
          <w:sz w:val="13"/>
        </w:rPr>
      </w:pPr>
      <w:r>
        <w:rPr>
          <w:rFonts w:ascii="Montserrat;sans-serif" w:hAnsi="Montserrat;sans-serif"/>
          <w:color w:val="000000"/>
          <w:sz w:val="13"/>
        </w:rPr>
        <w:t>Additional Proposals</w:t>
      </w:r>
    </w:p>
    <w:p>
      <w:pPr>
        <w:pStyle w:val="TextBody"/>
        <w:bidi w:val="0"/>
        <w:spacing w:before="60" w:after="283"/>
        <w:jc w:val="right"/>
        <w:rPr>
          <w:rFonts w:ascii="Montserrat;sans-serif" w:hAnsi="Montserrat;sans-serif"/>
          <w:color w:val="000000"/>
          <w:sz w:val="12"/>
        </w:rPr>
      </w:pPr>
      <w:r>
        <w:rPr>
          <w:rFonts w:ascii="Montserrat;sans-serif" w:hAnsi="Montserrat;sans-serif"/>
          <w:color w:val="000000"/>
          <w:sz w:val="12"/>
        </w:rPr>
        <w:t>Proposal 4: Approval of an Amendment to the Amended and Restated 2016 Equity Incentive Plan to Increase the Share Reserve</w:t>
      </w:r>
    </w:p>
    <w:p>
      <w:pPr>
        <w:pStyle w:val="TextBody"/>
        <w:bidi w:val="0"/>
        <w:jc w:val="right"/>
        <w:rPr/>
      </w:pPr>
      <w:r>
        <w:rPr/>
        <w:t> </w:t>
      </w:r>
    </w:p>
    <w:p>
      <w:pPr>
        <w:pStyle w:val="TextBody"/>
        <w:bidi w:val="0"/>
        <w:jc w:val="right"/>
        <w:rPr/>
      </w:pPr>
      <w:r>
        <w:rPr/>
        <w:t> </w:t>
      </w:r>
    </w:p>
    <w:p>
      <w:pPr>
        <w:pStyle w:val="TextBody"/>
        <w:bidi w:val="0"/>
        <w:spacing w:before="120" w:after="283"/>
        <w:jc w:val="both"/>
        <w:rPr>
          <w:rFonts w:ascii="Montserrat;sans-serif" w:hAnsi="Montserrat;sans-serif"/>
          <w:sz w:val="18"/>
        </w:rPr>
      </w:pPr>
      <w:r>
        <w:rPr>
          <w:rFonts w:ascii="Montserrat;sans-serif" w:hAnsi="Montserrat;sans-serif"/>
          <w:b/>
          <w:color w:val="000000"/>
          <w:sz w:val="18"/>
        </w:rPr>
        <w:t>Powers of the Administrator.</w:t>
      </w:r>
      <w:r>
        <w:rPr>
          <w:rFonts w:ascii="Montserrat;sans-serif" w:hAnsi="Montserrat;sans-serif"/>
          <w:color w:val="000000"/>
          <w:sz w:val="18"/>
        </w:rPr>
        <w:t xml:space="preserve"> Subject to the provisions of the Restated Plan, and in the case of a committee, the specific duties delegated by our Board to such committee, the administrator will have the authority, in its discretion, to: determine the fair market value (as defined in the Restated Plan) for purposes of the Restated Plan; select the eligible service providers to whom awards may be granted under the Restated Plan; determine the number of shares or dollar amounts to be covered by each award granted under the Restated Plan; approve forms of award agreements for use under the Restated Plan; determine the terms and conditions, not inconsistent with the terms of the Restated Plan, of any award granted under the Restated Plan (including, but not limited to, the exercise price, the time or times when awards may vest or be exercised (which may be based on performance criteria)), any vesting acceleration or waiver of forfeiture restrictions, and any restriction or limitation regarding any award or the shares relating thereto, based in each case on such factors as the administrator determines; prescribe, amend and rescind rules and regulations relating to the Restated Plan, including rules and regulations relating to sub-plans established for the purpose of accommodating requirements of local law and procedures outside the U.S., facilitating the administration of the Restated Plan in jurisdictions outside the U.S., or for qualifying for favorable tax treatment under applicable non-U.S. laws; construe and interpret the terms of the Restated Plan and awards granted under the Restated Plan and make any decision necessary to administer the Restated Plan; modify or amend each award (subject to limitations contained in the Restated Plan); allow participants to satisfy withholding obligations for taxes (subject to limitations contained in the Restated Plan); authorize any person to execute on our behalf any instrument required to affect the grant of an award previously granted by the administrator; temporarily suspend the exercisability or vesting of an award if the administrator deems such suspension to be necessary or appropriate for administrative purposes; allow a participant to defer the receipt of the payment of cash or the delivery of shares that otherwise would be due to the participant under an award; and make all other determinations deemed necessary or advisable for administering the Restated Plan.</w:t>
      </w:r>
    </w:p>
    <w:p>
      <w:pPr>
        <w:pStyle w:val="TextBody"/>
        <w:bidi w:val="0"/>
        <w:spacing w:before="360" w:after="283"/>
        <w:jc w:val="both"/>
        <w:rPr>
          <w:rFonts w:ascii="Montserrat;sans-serif" w:hAnsi="Montserrat;sans-serif"/>
          <w:sz w:val="18"/>
        </w:rPr>
      </w:pPr>
      <w:r>
        <w:rPr>
          <w:rFonts w:ascii="Montserrat;sans-serif" w:hAnsi="Montserrat;sans-serif"/>
          <w:b/>
          <w:color w:val="000000"/>
          <w:sz w:val="18"/>
        </w:rPr>
        <w:t>Limitations.</w:t>
      </w:r>
      <w:r>
        <w:rPr>
          <w:rFonts w:ascii="Montserrat;sans-serif" w:hAnsi="Montserrat;sans-serif"/>
          <w:color w:val="000000"/>
          <w:sz w:val="18"/>
        </w:rPr>
        <w:t xml:space="preserve"> </w:t>
      </w:r>
    </w:p>
    <w:p>
      <w:pPr>
        <w:pStyle w:val="TextBody"/>
        <w:bidi w:val="0"/>
        <w:spacing w:before="120" w:after="283"/>
        <w:jc w:val="both"/>
        <w:rPr>
          <w:rFonts w:ascii="Montserrat;sans-serif" w:hAnsi="Montserrat;sans-serif"/>
          <w:sz w:val="18"/>
        </w:rPr>
      </w:pPr>
      <w:r>
        <w:rPr>
          <w:rFonts w:ascii="Montserrat;sans-serif" w:hAnsi="Montserrat;sans-serif"/>
          <w:i/>
          <w:color w:val="000000"/>
          <w:sz w:val="18"/>
        </w:rPr>
        <w:t>No Repricing; Exchange Program.</w:t>
      </w:r>
      <w:r>
        <w:rPr>
          <w:rFonts w:ascii="Montserrat;sans-serif" w:hAnsi="Montserrat;sans-serif"/>
          <w:color w:val="000000"/>
          <w:sz w:val="18"/>
        </w:rPr>
        <w:t xml:space="preserve"> Without stockholder approval, the administrator may not institute a program under which outstanding awards are surrendered or canceled in exchange for awards of the same type (which may have higher or lower exercise prices and different terms), awards of a different type, and/or cash; and/or the exercise price of an outstanding award is reduced.</w:t>
      </w:r>
    </w:p>
    <w:p>
      <w:pPr>
        <w:pStyle w:val="TextBody"/>
        <w:bidi w:val="0"/>
        <w:spacing w:before="120" w:after="283"/>
        <w:jc w:val="both"/>
        <w:rPr>
          <w:rFonts w:ascii="Montserrat;sans-serif" w:hAnsi="Montserrat;sans-serif"/>
          <w:sz w:val="18"/>
        </w:rPr>
      </w:pPr>
      <w:r>
        <w:rPr>
          <w:rFonts w:ascii="Montserrat;sans-serif" w:hAnsi="Montserrat;sans-serif"/>
          <w:i/>
          <w:color w:val="000000"/>
          <w:sz w:val="18"/>
        </w:rPr>
        <w:t>Outside Director Award Limitations.</w:t>
      </w:r>
      <w:r>
        <w:rPr>
          <w:rFonts w:ascii="Montserrat;sans-serif" w:hAnsi="Montserrat;sans-serif"/>
          <w:color w:val="000000"/>
          <w:sz w:val="18"/>
        </w:rPr>
        <w:t xml:space="preserve"> In any fiscal year, non-employee directors may not be granted equity awards (including awards granted under the Restated Plan) valued based on their grant date fair value, combined with cash retainers or annual or meeting fees for service as a non</w:t>
        <w:noBreakHyphen/>
        <w:t>employee director, with an aggregate value of more than $750,000. The limit is increased to $1,500,000 in connection with a non-employee director’s initial service and determined in accordance with U.S. generally accepted accounting principles. Any awards or other compensation provided for an individual for service to our company other than as a non-employee director are excluded for purposes of this limit.</w:t>
      </w:r>
    </w:p>
    <w:p>
      <w:pPr>
        <w:pStyle w:val="TextBody"/>
        <w:bidi w:val="0"/>
        <w:spacing w:before="120" w:after="283"/>
        <w:jc w:val="both"/>
        <w:rPr>
          <w:rFonts w:ascii="Montserrat;sans-serif" w:hAnsi="Montserrat;sans-serif"/>
          <w:sz w:val="18"/>
        </w:rPr>
      </w:pPr>
      <w:r>
        <w:rPr>
          <w:rFonts w:ascii="Montserrat;sans-serif" w:hAnsi="Montserrat;sans-serif"/>
          <w:i/>
          <w:color w:val="000000"/>
          <w:sz w:val="18"/>
        </w:rPr>
        <w:t>Dividends and Other Distributions.</w:t>
      </w:r>
      <w:r>
        <w:rPr>
          <w:rFonts w:ascii="Montserrat;sans-serif" w:hAnsi="Montserrat;sans-serif"/>
          <w:color w:val="000000"/>
          <w:sz w:val="18"/>
        </w:rPr>
        <w:t xml:space="preserve"> Dividends or other distributions payable with respect to shares subject to awards under the Restated Plan will not be paid before and unless the underlying shares vest. No dividends or other distributions will be paid with respect to Shares (as defined in the Restated Plan) that are subject to unexercised options or stock appreciation rights.</w:t>
      </w:r>
    </w:p>
    <w:p>
      <w:pPr>
        <w:pStyle w:val="TextBody"/>
        <w:bidi w:val="0"/>
        <w:spacing w:before="120" w:after="283"/>
        <w:jc w:val="both"/>
        <w:rPr>
          <w:rFonts w:ascii="Montserrat;sans-serif" w:hAnsi="Montserrat;sans-serif"/>
          <w:sz w:val="18"/>
        </w:rPr>
      </w:pPr>
      <w:r>
        <w:rPr>
          <w:rFonts w:ascii="Montserrat;sans-serif" w:hAnsi="Montserrat;sans-serif"/>
          <w:b/>
          <w:color w:val="000000"/>
          <w:sz w:val="18"/>
        </w:rPr>
        <w:t>Transferability of Awards.</w:t>
      </w:r>
      <w:r>
        <w:rPr>
          <w:rFonts w:ascii="Montserrat;sans-serif" w:hAnsi="Montserrat;sans-serif"/>
          <w:color w:val="000000"/>
          <w:sz w:val="18"/>
        </w:rPr>
        <w:t xml:space="preserve"> Generally, unless determined otherwise by the administrator, an award may not be sold, pledged, assigned, hypothecated, transferred, or disposed of in any manner other than by will or by the laws of descent and distribution, and may be exercised, during the lifetime of the participant, only by the participant. If the administrator makes an award transferable, such award will contain such additional terms and conditions as the administrator deems appropriate.</w:t>
      </w:r>
    </w:p>
    <w:p>
      <w:pPr>
        <w:pStyle w:val="TextBody"/>
        <w:bidi w:val="0"/>
        <w:spacing w:before="120" w:after="283"/>
        <w:jc w:val="both"/>
        <w:rPr>
          <w:rFonts w:ascii="Montserrat;sans-serif" w:hAnsi="Montserrat;sans-serif"/>
          <w:sz w:val="18"/>
        </w:rPr>
      </w:pPr>
      <w:r>
        <w:rPr>
          <w:rFonts w:ascii="Montserrat;sans-serif" w:hAnsi="Montserrat;sans-serif"/>
          <w:b/>
          <w:color w:val="000000"/>
          <w:sz w:val="18"/>
        </w:rPr>
        <w:t>Eligibility.</w:t>
      </w:r>
      <w:r>
        <w:rPr>
          <w:rFonts w:ascii="Montserrat;sans-serif" w:hAnsi="Montserrat;sans-serif"/>
          <w:color w:val="000000"/>
          <w:sz w:val="18"/>
        </w:rPr>
        <w:t xml:space="preserve"> Nonstatutory stock options, stock appreciation rights, restricted stock, restricted stock units, performance shares and performance units may be granted to employees, directors and consultants (each, a “service provider” and, collectively, “service providers,” as defined in the Restated Plan). Incentive stock options may be granted only to employees. As of July 31, 2026, we had approximately 8,350 employees (including 1 employee member of our Board) and 8 non-employee members of our Board eligible to participate in the Restated Plan, as well as approximately 1,500 consultants eligible to receive awards under the Restated Plan. Although consultants are eligible to receive awards under the Restated Plan, the Company does not currently expect to make material grants to consultants.</w:t>
      </w:r>
    </w:p>
    <w:p>
      <w:pPr>
        <w:pStyle w:val="TextBody"/>
        <w:bidi w:val="0"/>
        <w:spacing w:before="120" w:after="283"/>
        <w:jc w:val="both"/>
        <w:rPr>
          <w:rFonts w:ascii="Montserrat;sans-serif" w:hAnsi="Montserrat;sans-serif"/>
          <w:sz w:val="18"/>
        </w:rPr>
      </w:pPr>
      <w:r>
        <w:rPr>
          <w:rFonts w:ascii="Montserrat;sans-serif" w:hAnsi="Montserrat;sans-serif"/>
          <w:b/>
          <w:color w:val="000000"/>
          <w:sz w:val="18"/>
        </w:rPr>
        <w:t>Stock Options.</w:t>
      </w:r>
      <w:r>
        <w:rPr>
          <w:rFonts w:ascii="Montserrat;sans-serif" w:hAnsi="Montserrat;sans-serif"/>
          <w:color w:val="000000"/>
          <w:sz w:val="18"/>
        </w:rPr>
        <w:t xml:space="preserve"> The Restated Plan permits the grant of options to purchase shares of our Class A Common Stock. Each option will be evidenced by an award agreement that will specify the exercise price, the number of shares subject to the option, the exercise restrictions, if any, applicable to the option, and such other terms and conditions as the administrator determines. Each option will be designated in the award agreement as either an incentive stock option or a nonstatutory stock option. The term of each incentive stock option will be 10 years from the date of grant or such shorter term as may be provided in the award agreement. In the case of an incentive stock option granted to a participant who, at the time </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2641"/>
        <w:gridCol w:w="331"/>
      </w:tblGrid>
      <w:tr>
        <w:trPr/>
        <w:tc>
          <w:tcPr>
            <w:tcW w:w="26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231"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22" descr=""/>
                          <pic:cNvPicPr>
                            <a:picLocks noChangeAspect="1" noChangeArrowheads="1"/>
                          </pic:cNvPicPr>
                        </pic:nvPicPr>
                        <pic:blipFill>
                          <a:blip r:embed="rId224"/>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3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79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rFonts w:ascii="Montserrat;sans-serif" w:hAnsi="Montserrat;sans-serif"/>
          <w:color w:val="000000"/>
          <w:sz w:val="13"/>
        </w:rPr>
      </w:pPr>
      <w:r>
        <w:rPr>
          <w:rFonts w:ascii="Montserrat;sans-serif" w:hAnsi="Montserrat;sans-serif"/>
          <w:color w:val="000000"/>
          <w:sz w:val="13"/>
        </w:rPr>
        <w:t>Additional Proposals</w:t>
      </w:r>
    </w:p>
    <w:p>
      <w:pPr>
        <w:pStyle w:val="TextBody"/>
        <w:bidi w:val="0"/>
        <w:spacing w:before="60" w:after="283"/>
        <w:jc w:val="left"/>
        <w:rPr>
          <w:rFonts w:ascii="Montserrat;sans-serif" w:hAnsi="Montserrat;sans-serif"/>
          <w:color w:val="000000"/>
          <w:sz w:val="12"/>
        </w:rPr>
      </w:pPr>
      <w:r>
        <w:rPr>
          <w:rFonts w:ascii="Montserrat;sans-serif" w:hAnsi="Montserrat;sans-serif"/>
          <w:color w:val="000000"/>
          <w:sz w:val="12"/>
        </w:rPr>
        <w:t>Proposal 4: Approval of an Amendment to the Amended and Restated 2016 Equity Incentive Plan to Increase the Share Reserve</w:t>
      </w:r>
    </w:p>
    <w:p>
      <w:pPr>
        <w:pStyle w:val="TextBody"/>
        <w:bidi w:val="0"/>
        <w:jc w:val="left"/>
        <w:rPr/>
      </w:pPr>
      <w:r>
        <w:rPr/>
        <w:t> </w:t>
      </w:r>
    </w:p>
    <w:p>
      <w:pPr>
        <w:pStyle w:val="TextBody"/>
        <w:bidi w:val="0"/>
        <w:jc w:val="left"/>
        <w:rPr/>
      </w:pPr>
      <w:r>
        <w:rPr/>
        <w:t> </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incentive stock option is granted, owns stock representing more than 10% of the total combined voting power of all classes of stock of our company or any parent or subsidiary, the term of the incentive stock option will be five years from the date of grant or such shorter term as may be provided in the award agreement. The per share exercise price for the shares to be issued pursuant to exercise of an option will be at least equal to the fair market value of an underlying share on the date of grant. In the case of an incentive stock option granted to an employee who, at the time the incentive stock option is granted, owns stock representing more than 10% of the voting power of all classes of stock of our company or any parent or subsidiary, the per share exercise price will be no less than 110% of the fair market value per share on the date of grant. Notwithstanding the foregoing, options may be granted with a per share exercise price of less than 100% of the fair market value per share on the date of grant in the case of substitute awards granted in connection with transactions described in, and in a manner consistent with, Section 424(a) of the Code.</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At the time an option is granted, the administrator will fix the period within which the option may be exercised and will determine any conditions that must be satisfied before the option may be exercised. The administrator will determine the acceptable form of consideration for exercising an option, including the method of payment.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If a participant ceases to be a service provider, other than as the result of death or disability (as defined in the Restated Plan), the participant may exercise his or her option within such period of time as is specified in the award agreement to the extent that the option is vested on the date of the participant’s termination (but in no event later than the expiration of the term of such option as set forth in the award agreement). In the absence of a specified time in the award agreement, the option will remain exercisable for three months following the participant’s termination.</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If a participant ceases to be a service provider as a result of death or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12 months following such termination of the participant’s service.</w:t>
      </w:r>
    </w:p>
    <w:p>
      <w:pPr>
        <w:pStyle w:val="TextBody"/>
        <w:bidi w:val="0"/>
        <w:spacing w:before="120" w:after="283"/>
        <w:jc w:val="both"/>
        <w:rPr>
          <w:rFonts w:ascii="Montserrat;sans-serif" w:hAnsi="Montserrat;sans-serif"/>
          <w:sz w:val="18"/>
        </w:rPr>
      </w:pPr>
      <w:r>
        <w:rPr>
          <w:rFonts w:ascii="Montserrat;sans-serif" w:hAnsi="Montserrat;sans-serif"/>
          <w:b/>
          <w:color w:val="000000"/>
          <w:sz w:val="18"/>
        </w:rPr>
        <w:t>Restricted Stock.</w:t>
      </w:r>
      <w:r>
        <w:rPr>
          <w:rFonts w:ascii="Montserrat;sans-serif" w:hAnsi="Montserrat;sans-serif"/>
          <w:color w:val="000000"/>
          <w:sz w:val="18"/>
        </w:rPr>
        <w:t xml:space="preserve"> Restricted stock is stock that is subject to forfeiture to us during a “period of restriction” until applicable vesting conditions are met. Each award of restricted stock will be evidenced by an award agreement that will specify any period of restriction, the number of shares granted, and such other terms and conditions as the administrator determines. The administrator may accelerate the time at which any restrictions will lapse or be removed. Except as described below or the award agreement, shares of restricted stock may not be sold, transferred, pledged, assigned, or otherwise alienated or hypothecated until the end of any applicable period of restriction. During any applicable period of restriction, service providers holding shares of restricted stock granted under the Restated Plan may exercise full voting rights with respect to those shares, unless the administrator determines otherwise. On the date set forth in the award agreement, the restricted stock for which restrictions have not lapsed will revert to us and again will become available for grant under the Restated Plan.</w:t>
      </w:r>
    </w:p>
    <w:p>
      <w:pPr>
        <w:pStyle w:val="TextBody"/>
        <w:bidi w:val="0"/>
        <w:spacing w:before="120" w:after="283"/>
        <w:jc w:val="both"/>
        <w:rPr>
          <w:rFonts w:ascii="Montserrat;sans-serif" w:hAnsi="Montserrat;sans-serif"/>
          <w:sz w:val="18"/>
        </w:rPr>
      </w:pPr>
      <w:r>
        <w:rPr>
          <w:rFonts w:ascii="Montserrat;sans-serif" w:hAnsi="Montserrat;sans-serif"/>
          <w:b/>
          <w:color w:val="000000"/>
          <w:sz w:val="18"/>
        </w:rPr>
        <w:t>Restricted Stock Units.</w:t>
      </w:r>
      <w:r>
        <w:rPr>
          <w:rFonts w:ascii="Montserrat;sans-serif" w:hAnsi="Montserrat;sans-serif"/>
          <w:color w:val="000000"/>
          <w:sz w:val="18"/>
        </w:rPr>
        <w:t xml:space="preserve"> A “restricted stock unit” is a bookkeeping entry representing an amount equal to the fair market value of one share. Each award of restricted stock units will be evidenced by an award agreement that will specify vesting criteria, the number of restricted stock units granted, and such other terms and conditions as the administrator determines. The administrator will set vesting criteria,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U.S. or non-U.S. federal or state securities laws or any other basis determined by the administrator. Upon meeting the applicable vesting criteria, the participant will be entitled to receive a payout as determined by the administrator. Notwithstanding the foregoing, at any time after the grant of restricted stock units, the administrator may reduce or waive any vesting criteria that must be met to receive a payout. The administrator may settle earned restricted stock units only in cash, shares, or a combination of both. </w:t>
      </w:r>
    </w:p>
    <w:p>
      <w:pPr>
        <w:pStyle w:val="TextBody"/>
        <w:bidi w:val="0"/>
        <w:spacing w:before="120" w:after="283"/>
        <w:jc w:val="both"/>
        <w:rPr>
          <w:rFonts w:ascii="Montserrat;sans-serif" w:hAnsi="Montserrat;sans-serif"/>
          <w:sz w:val="18"/>
        </w:rPr>
      </w:pPr>
      <w:r>
        <w:rPr>
          <w:rFonts w:ascii="Montserrat;sans-serif" w:hAnsi="Montserrat;sans-serif"/>
          <w:b/>
          <w:color w:val="000000"/>
          <w:sz w:val="18"/>
        </w:rPr>
        <w:t>Stock Appreciation Rights.</w:t>
      </w:r>
      <w:r>
        <w:rPr>
          <w:rFonts w:ascii="Montserrat;sans-serif" w:hAnsi="Montserrat;sans-serif"/>
          <w:color w:val="000000"/>
          <w:sz w:val="18"/>
        </w:rPr>
        <w:t xml:space="preserve"> A stock appreciation right is an award that provides for a payment based upon the difference between the fair market value of a share on the date of exercise and the stated exercise price of the stock appreciation right. Each stock appreciation right grant will be evidenced by an award agreement that will specify the exercise price, the term of the stock appreciation right, the conditions of exercise, and such other terms and conditions as the administrator determines. The administrator will have complete discretion to determine the number of stock appreciation rights granted to any service provider. At the discretion of the administrator, the payment upon exercise of a stock appreciation right may be in cash, in shares of equivalent value, or in some combination of both. The same exercise and expiration rules that apply to options also apply to stock appreciation rights.</w:t>
      </w:r>
    </w:p>
    <w:p>
      <w:pPr>
        <w:pStyle w:val="TextBody"/>
        <w:bidi w:val="0"/>
        <w:spacing w:before="120" w:after="283"/>
        <w:jc w:val="both"/>
        <w:rPr>
          <w:rFonts w:ascii="Montserrat;sans-serif" w:hAnsi="Montserrat;sans-serif"/>
          <w:sz w:val="18"/>
        </w:rPr>
      </w:pPr>
      <w:r>
        <w:rPr>
          <w:rFonts w:ascii="Montserrat;sans-serif" w:hAnsi="Montserrat;sans-serif"/>
          <w:b/>
          <w:color w:val="000000"/>
          <w:sz w:val="18"/>
        </w:rPr>
        <w:t>Performance Units and Performance Shares.</w:t>
      </w:r>
      <w:r>
        <w:rPr>
          <w:rFonts w:ascii="Montserrat;sans-serif" w:hAnsi="Montserrat;sans-serif"/>
          <w:color w:val="000000"/>
          <w:sz w:val="18"/>
        </w:rPr>
        <w:t xml:space="preserve"> Performance units and performance shares are awards that result in us paying a certain number of shares, units or cash upon satisfaction of certain performance objectives. The administrator will set the performance objectives or other vesting provisions that must be satisfied (including, without limitation, </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301"/>
        <w:gridCol w:w="2671"/>
      </w:tblGrid>
      <w:tr>
        <w:trPr/>
        <w:tc>
          <w:tcPr>
            <w:tcW w:w="30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80</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232"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23" descr=""/>
                          <pic:cNvPicPr>
                            <a:picLocks noChangeAspect="1" noChangeArrowheads="1"/>
                          </pic:cNvPicPr>
                        </pic:nvPicPr>
                        <pic:blipFill>
                          <a:blip r:embed="rId225"/>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rFonts w:ascii="Montserrat;sans-serif" w:hAnsi="Montserrat;sans-serif"/>
          <w:color w:val="000000"/>
          <w:sz w:val="13"/>
        </w:rPr>
      </w:pPr>
      <w:r>
        <w:rPr>
          <w:rFonts w:ascii="Montserrat;sans-serif" w:hAnsi="Montserrat;sans-serif"/>
          <w:color w:val="000000"/>
          <w:sz w:val="13"/>
        </w:rPr>
        <w:t>Additional Proposals</w:t>
      </w:r>
    </w:p>
    <w:p>
      <w:pPr>
        <w:pStyle w:val="TextBody"/>
        <w:bidi w:val="0"/>
        <w:spacing w:before="60" w:after="283"/>
        <w:jc w:val="right"/>
        <w:rPr>
          <w:rFonts w:ascii="Montserrat;sans-serif" w:hAnsi="Montserrat;sans-serif"/>
          <w:color w:val="000000"/>
          <w:sz w:val="12"/>
        </w:rPr>
      </w:pPr>
      <w:r>
        <w:rPr>
          <w:rFonts w:ascii="Montserrat;sans-serif" w:hAnsi="Montserrat;sans-serif"/>
          <w:color w:val="000000"/>
          <w:sz w:val="12"/>
        </w:rPr>
        <w:t>Proposal 4: Approval of an Amendment to the Amended and Restated 2016 Equity Incentive Plan to Increase the Share Reserve</w:t>
      </w:r>
    </w:p>
    <w:p>
      <w:pPr>
        <w:pStyle w:val="TextBody"/>
        <w:bidi w:val="0"/>
        <w:jc w:val="right"/>
        <w:rPr/>
      </w:pPr>
      <w:r>
        <w:rPr/>
        <w:t> </w:t>
      </w:r>
    </w:p>
    <w:p>
      <w:pPr>
        <w:pStyle w:val="TextBody"/>
        <w:bidi w:val="0"/>
        <w:jc w:val="right"/>
        <w:rPr/>
      </w:pPr>
      <w:r>
        <w:rPr/>
        <w:t> </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 xml:space="preserve">continued employment or service), which, depending on the extent to which they are met, will determine the number or value of performance units or shares that will be paid out. The administrator may set vesting criteria based upon the achievement of company-wide, divisional, business unit or individual goals, applicable federal or state securities laws, or any other basis determined by the administrator in its sole discretion. The payment may be in the form of cash, shares of equivalent value as of the close of the applicable performance period, or a combination thereof, as determined by the administrator. All unearned or unvested performance units or shares as of the date set forth in the award agreement will be forfeited to us. After the grant of performance shares or units, the administrator, in its sole discretion, may reduce or waive any performance objectives or other vesting provisions with respect to the performance units and performance shares. The value of any payment pursuant to an award of performance units or performance shares will depend upon the extent to which the performance objectives are achieved. Each performance unit will have an initial value that is established by the administrator on or before the date of grant. Each performance share will have an initial value equal to the fair market value of a share on the date of grant. </w:t>
      </w:r>
    </w:p>
    <w:p>
      <w:pPr>
        <w:pStyle w:val="TextBody"/>
        <w:bidi w:val="0"/>
        <w:spacing w:before="120" w:after="283"/>
        <w:jc w:val="both"/>
        <w:rPr>
          <w:rFonts w:ascii="Montserrat;sans-serif" w:hAnsi="Montserrat;sans-serif"/>
          <w:sz w:val="18"/>
        </w:rPr>
      </w:pPr>
      <w:r>
        <w:rPr>
          <w:rFonts w:ascii="Montserrat;sans-serif" w:hAnsi="Montserrat;sans-serif"/>
          <w:b/>
          <w:color w:val="000000"/>
          <w:sz w:val="18"/>
        </w:rPr>
        <w:t>Adjustments.</w:t>
      </w:r>
      <w:r>
        <w:rPr>
          <w:rFonts w:ascii="Montserrat;sans-serif" w:hAnsi="Montserrat;sans-serif"/>
          <w:color w:val="000000"/>
          <w:sz w:val="18"/>
        </w:rPr>
        <w:t xml:space="preserve">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our company, or other change in our corporate structure affecting the shares occurs (other than any ordinary dividends or other ordinary distributions), the administrator, in order to prevent diminution or enlargement of the benefits or potential benefits intended to be made available under the Restated Plan, will adjust the number and class of shares of stock that may be delivered under the Restated Plan and/or the number, class, and exercise price of shares of stock covered by each outstanding award, and the numerical share limits set forth in the Restated Plan.</w:t>
      </w:r>
    </w:p>
    <w:p>
      <w:pPr>
        <w:pStyle w:val="TextBody"/>
        <w:bidi w:val="0"/>
        <w:spacing w:before="120" w:after="283"/>
        <w:jc w:val="both"/>
        <w:rPr>
          <w:rFonts w:ascii="Montserrat;sans-serif" w:hAnsi="Montserrat;sans-serif"/>
          <w:sz w:val="18"/>
        </w:rPr>
      </w:pPr>
      <w:r>
        <w:rPr>
          <w:rFonts w:ascii="Montserrat;sans-serif" w:hAnsi="Montserrat;sans-serif"/>
          <w:b/>
          <w:color w:val="000000"/>
          <w:sz w:val="18"/>
        </w:rPr>
        <w:t>Dissolution or Liquidation.</w:t>
      </w:r>
      <w:r>
        <w:rPr>
          <w:rFonts w:ascii="Montserrat;sans-serif" w:hAnsi="Montserrat;sans-serif"/>
          <w:color w:val="000000"/>
          <w:sz w:val="18"/>
        </w:rPr>
        <w:t xml:space="preserve"> In the event of a proposed dissolution or liquidation of our company, the administrator will notify each participant as soon as practicable prior to the effective date of such proposed transaction. To the extent it has not been previously exercised or vested, an award will terminate immediately prior to the consummation of such proposed action.</w:t>
      </w:r>
    </w:p>
    <w:p>
      <w:pPr>
        <w:pStyle w:val="TextBody"/>
        <w:bidi w:val="0"/>
        <w:spacing w:before="120" w:after="283"/>
        <w:jc w:val="both"/>
        <w:rPr>
          <w:rFonts w:ascii="Montserrat;sans-serif" w:hAnsi="Montserrat;sans-serif"/>
          <w:sz w:val="18"/>
        </w:rPr>
      </w:pPr>
      <w:r>
        <w:rPr>
          <w:rFonts w:ascii="Montserrat;sans-serif" w:hAnsi="Montserrat;sans-serif"/>
          <w:b/>
          <w:color w:val="000000"/>
          <w:sz w:val="18"/>
        </w:rPr>
        <w:t>Merger or Change in Control.</w:t>
      </w:r>
      <w:r>
        <w:rPr>
          <w:rFonts w:ascii="Montserrat;sans-serif" w:hAnsi="Montserrat;sans-serif"/>
          <w:color w:val="000000"/>
          <w:sz w:val="18"/>
        </w:rPr>
        <w:t xml:space="preserve"> In the event of a merger of our company with or into another corporation or other entity or a change in control (as defined in the Restated Plan), each outstanding award will be treated as the administrator determines subject to the restriction in the following paragraph, including, without limitation, that each award be assumed or an equivalent option or right substituted by the successor corporation or a parent or subsidiary of the successor corporation. The administrator will not be required to treat all awards or participants similarly in the transaction.</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To the extent that the successor corporation does not assume or substitute for an award, the participant will fully vest in and have the right to exercise such outstanding options and stock appreciation rights that are not assumed or substituted for, including shares as to which such award would not otherwise be vested or exercisable, all restrictions on restricted stock, restricted stock units, performance shares and performance units will lapse, and, with respect to such awards with performance-based vesting, all performance goals or other vesting criteria will be deemed achieved at 100% of target levels and all other terms and conditions met, in each case, unless specifically provided otherwise under the applicable award agreement or other written agreement between the participant and us or any of our subsidiaries or parents, as applicable. In addition, to the extent an option or stock appreciation right is not assumed or substituted for in the event of a merger or change in control, the administrator will notify the participant in writing or electronically that such option or stock appreciation right will be exercisable for a period of time determined by the administrator, and the option or stock appreciation right will terminate upon the expiration of such period.</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With respect to awards granted to an outside director that are assumed or substituted for, if on the date of or following such assumption or substitution the participant’s status as a director or a director of the successor corporation, as applicable, is terminated other than by a voluntary resignation by the participant (unless such resignation is at the request of the acquirer), then the participant will fully vest in and have the right to exercise options and/or stock appreciation rights as to all of the shares underlying such award, including those shares which would not be vested or exercisable, all restrictions on restricted stock and restricted stock units will lapse, and, with respect to awards with performance-based vesting, all performance goals or other vesting criteria will be deemed achieved at 100% of target levels and all other terms and conditions met.</w:t>
      </w:r>
    </w:p>
    <w:p>
      <w:pPr>
        <w:pStyle w:val="TextBody"/>
        <w:bidi w:val="0"/>
        <w:spacing w:before="120" w:after="283"/>
        <w:jc w:val="both"/>
        <w:rPr>
          <w:rFonts w:ascii="Montserrat;sans-serif" w:hAnsi="Montserrat;sans-serif"/>
          <w:sz w:val="18"/>
        </w:rPr>
      </w:pPr>
      <w:r>
        <w:rPr>
          <w:rFonts w:ascii="Montserrat;sans-serif" w:hAnsi="Montserrat;sans-serif"/>
          <w:b/>
          <w:color w:val="000000"/>
          <w:sz w:val="18"/>
        </w:rPr>
        <w:t xml:space="preserve">Amendment; Term of Restated Plan. </w:t>
      </w:r>
      <w:r>
        <w:rPr>
          <w:rFonts w:ascii="Montserrat;sans-serif" w:hAnsi="Montserrat;sans-serif"/>
          <w:color w:val="000000"/>
          <w:sz w:val="18"/>
        </w:rPr>
        <w:t xml:space="preserve">The administrator may at any time amend, alter, suspend, or terminate the Restated Plan, including to increase the cost to the company or alter the allocation of benefits among the persons and groups specified in the table below under “New Plan Benefits.” To the extent necessary and desirable to comply with applicable laws, we will obtain stockholder approval of any Restated Plan amendment. No amendment, alteration, suspension, or termination of the Restated Plan may materially impair the rights of any participant under an outstanding award, unless mutually agreed between the participant and the administrator. However, subject to the limitations of applicable laws, the administrator may amend the terms of any one or more awards without the affected participant’s </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2641"/>
        <w:gridCol w:w="331"/>
      </w:tblGrid>
      <w:tr>
        <w:trPr/>
        <w:tc>
          <w:tcPr>
            <w:tcW w:w="26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233"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24" descr=""/>
                          <pic:cNvPicPr>
                            <a:picLocks noChangeAspect="1" noChangeArrowheads="1"/>
                          </pic:cNvPicPr>
                        </pic:nvPicPr>
                        <pic:blipFill>
                          <a:blip r:embed="rId226"/>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3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81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rFonts w:ascii="Montserrat;sans-serif" w:hAnsi="Montserrat;sans-serif"/>
          <w:color w:val="000000"/>
          <w:sz w:val="13"/>
        </w:rPr>
      </w:pPr>
      <w:r>
        <w:rPr>
          <w:rFonts w:ascii="Montserrat;sans-serif" w:hAnsi="Montserrat;sans-serif"/>
          <w:color w:val="000000"/>
          <w:sz w:val="13"/>
        </w:rPr>
        <w:t>Additional Proposals</w:t>
      </w:r>
    </w:p>
    <w:p>
      <w:pPr>
        <w:pStyle w:val="TextBody"/>
        <w:bidi w:val="0"/>
        <w:spacing w:before="60" w:after="283"/>
        <w:jc w:val="left"/>
        <w:rPr>
          <w:rFonts w:ascii="Montserrat;sans-serif" w:hAnsi="Montserrat;sans-serif"/>
          <w:color w:val="000000"/>
          <w:sz w:val="12"/>
        </w:rPr>
      </w:pPr>
      <w:r>
        <w:rPr>
          <w:rFonts w:ascii="Montserrat;sans-serif" w:hAnsi="Montserrat;sans-serif"/>
          <w:color w:val="000000"/>
          <w:sz w:val="12"/>
        </w:rPr>
        <w:t>Proposal 4: Approval of an Amendment to the Amended and Restated 2016 Equity Incentive Plan to Increase the Share Reserve</w:t>
      </w:r>
    </w:p>
    <w:p>
      <w:pPr>
        <w:pStyle w:val="TextBody"/>
        <w:bidi w:val="0"/>
        <w:jc w:val="left"/>
        <w:rPr/>
      </w:pPr>
      <w:r>
        <w:rPr/>
        <w:t> </w:t>
      </w:r>
    </w:p>
    <w:p>
      <w:pPr>
        <w:pStyle w:val="TextBody"/>
        <w:bidi w:val="0"/>
        <w:jc w:val="left"/>
        <w:rPr/>
      </w:pPr>
      <w:r>
        <w:rPr/>
        <w:t> </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consent even if it does materially impair the participant’s right if such amendment is done (i) in a manner expressly permitted under the Restated Plan; (ii) to maintain the qualified status of the award as an incentive stock option under Section 422 of the Code; (iii) to change the terms of an incentive stock option, if such change results in impairment of the award only because it impairs the qualified status of the award as an incentive stock option under Section 422 of the Code; (iv) to clarify the manner of exemption from, or to bring the award into compliance with, Section 409A of the Code; or (v) to comply with other applicable laws. The Restated Plan will continue until terminated pursuant to its terms.</w:t>
      </w:r>
    </w:p>
    <w:p>
      <w:pPr>
        <w:pStyle w:val="TextBody"/>
        <w:bidi w:val="0"/>
        <w:spacing w:before="120" w:after="283"/>
        <w:jc w:val="both"/>
        <w:rPr>
          <w:rFonts w:ascii="Montserrat;sans-serif" w:hAnsi="Montserrat;sans-serif"/>
          <w:sz w:val="18"/>
        </w:rPr>
      </w:pPr>
      <w:r>
        <w:rPr>
          <w:rFonts w:ascii="Montserrat;sans-serif" w:hAnsi="Montserrat;sans-serif"/>
          <w:b/>
          <w:color w:val="000000"/>
          <w:sz w:val="18"/>
        </w:rPr>
        <w:t>Forfeiture Events.</w:t>
      </w:r>
      <w:r>
        <w:rPr>
          <w:rFonts w:ascii="Montserrat;sans-serif" w:hAnsi="Montserrat;sans-serif"/>
          <w:color w:val="000000"/>
          <w:sz w:val="18"/>
        </w:rPr>
        <w:t xml:space="preserve"> Awards will be subject to our company’s compensation recovery policy in effect as of the adoption of the Restated Plan and to any future compensation recovery policy adopted to comply with applicable laws.</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New Plan Benefits</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Because future awards under the Restated Plan will be granted in the discretion of the Compensation Committee, the type, number, recipients and other terms of such awards cannot be determined at this time. Information regarding our recent practices with respect to equity awards under the Restated Plan is presented above under “</w:t>
      </w:r>
      <w:r>
        <w:rPr>
          <w:rFonts w:ascii="Montserrat;sans-serif" w:hAnsi="Montserrat;sans-serif"/>
          <w:color w:val="7855FA"/>
          <w:sz w:val="18"/>
        </w:rPr>
        <w:t>Why Should Stockholders Vote to Approve the Amendment? – We Have Used the Restated Plan Responsibly – Historical Grant Practices</w:t>
      </w:r>
      <w:r>
        <w:rPr>
          <w:rFonts w:ascii="Montserrat;sans-serif" w:hAnsi="Montserrat;sans-serif"/>
          <w:color w:val="000000"/>
          <w:sz w:val="18"/>
        </w:rPr>
        <w:t>,” and in our financial statements for the fiscal year ended July 31, 2026, in our Annual Report on Form 10-K.</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following table shows, for each current executive officer and the various groups indicated, the total number of shares of Nutanix common stock subject to awards that have been granted (even if not currently outstanding) under the 2016 Equity Incentive Plan from its original effectiveness in September 2016 through July 31, 2026.</w:t>
      </w:r>
    </w:p>
    <w:p>
      <w:pPr>
        <w:pStyle w:val="TextBody"/>
        <w:bidi w:val="0"/>
        <w:jc w:val="both"/>
        <w:rPr/>
      </w:pPr>
      <w:r>
        <w:rPr/>
        <w:t> </w:t>
      </w:r>
    </w:p>
    <w:tbl>
      <w:tblPr>
        <w:tblW w:w="9728" w:type="dxa"/>
        <w:jc w:val="left"/>
        <w:tblInd w:w="0" w:type="dxa"/>
        <w:tblLayout w:type="fixed"/>
        <w:tblCellMar>
          <w:top w:w="28" w:type="dxa"/>
          <w:left w:w="28" w:type="dxa"/>
          <w:bottom w:w="28" w:type="dxa"/>
          <w:right w:w="28" w:type="dxa"/>
        </w:tblCellMar>
      </w:tblPr>
      <w:tblGrid>
        <w:gridCol w:w="7621"/>
        <w:gridCol w:w="146"/>
        <w:gridCol w:w="200"/>
        <w:gridCol w:w="1570"/>
        <w:gridCol w:w="191"/>
      </w:tblGrid>
      <w:tr>
        <w:trPr/>
        <w:tc>
          <w:tcPr>
            <w:tcW w:w="7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62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7855FA"/>
                <w:sz w:val="16"/>
              </w:rPr>
            </w:pPr>
            <w:r>
              <w:rPr>
                <w:rFonts w:ascii="Montserrat;sans-serif" w:hAnsi="Montserrat;sans-serif"/>
                <w:b/>
                <w:color w:val="7855FA"/>
                <w:sz w:val="16"/>
              </w:rPr>
              <w:t>Name of Individual or Group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6"/>
              </w:rPr>
            </w:pPr>
            <w:r>
              <w:rPr>
                <w:rFonts w:ascii="Montserrat;sans-serif" w:hAnsi="Montserrat;sans-serif"/>
                <w:b/>
                <w:color w:val="7855FA"/>
                <w:sz w:val="16"/>
              </w:rPr>
              <w:t>Number of Shares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2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Montserrat Medium;sans-serif" w:hAnsi="Montserrat;Montserrat Medium;sans-serif"/>
                <w:b/>
                <w:color w:val="000000"/>
                <w:sz w:val="16"/>
              </w:rPr>
            </w:pPr>
            <w:r>
              <w:rPr>
                <w:rFonts w:ascii="Montserrat;Montserrat Medium;sans-serif" w:hAnsi="Montserrat;Montserrat Medium;sans-serif"/>
                <w:b/>
                <w:color w:val="000000"/>
                <w:sz w:val="16"/>
              </w:rPr>
              <w:t>Rajiv Ramaswami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3,769,021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Montserrat Medium;sans-serif" w:hAnsi="Montserrat;Montserrat Medium;sans-serif"/>
                <w:b/>
                <w:color w:val="000000"/>
                <w:sz w:val="16"/>
              </w:rPr>
            </w:pPr>
            <w:r>
              <w:rPr>
                <w:rFonts w:ascii="Montserrat;Montserrat Medium;sans-serif" w:hAnsi="Montserrat;Montserrat Medium;sans-serif"/>
                <w:b/>
                <w:color w:val="000000"/>
                <w:sz w:val="16"/>
              </w:rPr>
              <w:t>Rukmini Sivaraman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978,023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Montserrat Medium;sans-serif" w:hAnsi="Montserrat;Montserrat Medium;sans-serif"/>
                <w:b/>
                <w:color w:val="000000"/>
                <w:sz w:val="16"/>
              </w:rPr>
            </w:pPr>
            <w:r>
              <w:rPr>
                <w:rFonts w:ascii="Montserrat;Montserrat Medium;sans-serif" w:hAnsi="Montserrat;Montserrat Medium;sans-serif"/>
                <w:b/>
                <w:color w:val="000000"/>
                <w:sz w:val="16"/>
              </w:rPr>
              <w:t>Brian Martin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151,431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Montserrat Medium;sans-serif" w:hAnsi="Montserrat;Montserrat Medium;sans-serif"/>
                <w:b/>
                <w:color w:val="000000"/>
                <w:sz w:val="16"/>
              </w:rPr>
            </w:pPr>
            <w:r>
              <w:rPr>
                <w:rFonts w:ascii="Montserrat;Montserrat Medium;sans-serif" w:hAnsi="Montserrat;Montserrat Medium;sans-serif"/>
                <w:b/>
                <w:color w:val="000000"/>
                <w:sz w:val="16"/>
              </w:rPr>
              <w:t>Tarkan Maner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853,354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Montserrat Medium;sans-serif" w:hAnsi="Montserrat;Montserrat Medium;sans-serif"/>
                <w:b/>
                <w:color w:val="000000"/>
                <w:sz w:val="16"/>
              </w:rPr>
            </w:pPr>
            <w:r>
              <w:rPr>
                <w:rFonts w:ascii="Montserrat;Montserrat Medium;sans-serif" w:hAnsi="Montserrat;Montserrat Medium;sans-serif"/>
                <w:b/>
                <w:color w:val="000000"/>
                <w:sz w:val="16"/>
              </w:rPr>
              <w:t>All current executive officers as a group (3 persons)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4,898,475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Montserrat Medium;sans-serif" w:hAnsi="Montserrat;Montserrat Medium;sans-serif"/>
                <w:b/>
                <w:color w:val="000000"/>
                <w:sz w:val="16"/>
              </w:rPr>
            </w:pPr>
            <w:r>
              <w:rPr>
                <w:rFonts w:ascii="Montserrat;Montserrat Medium;sans-serif" w:hAnsi="Montserrat;Montserrat Medium;sans-serif"/>
                <w:b/>
                <w:color w:val="000000"/>
                <w:sz w:val="16"/>
              </w:rPr>
              <w:t>All current directors who are not executive officers as a group (8 persons)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309,183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Montserrat Medium;sans-serif" w:hAnsi="Montserrat;Montserrat Medium;sans-serif"/>
                <w:b/>
                <w:color w:val="000000"/>
                <w:sz w:val="16"/>
              </w:rPr>
            </w:pPr>
            <w:r>
              <w:rPr>
                <w:rFonts w:ascii="Montserrat;Montserrat Medium;sans-serif" w:hAnsi="Montserrat;Montserrat Medium;sans-serif"/>
                <w:b/>
                <w:color w:val="000000"/>
                <w:sz w:val="16"/>
              </w:rPr>
              <w:t>Each associate of any executive officers, current directors, or director nominees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Montserrat Medium;sans-serif" w:hAnsi="Montserrat;Montserrat Medium;sans-serif"/>
                <w:b/>
                <w:color w:val="000000"/>
                <w:sz w:val="16"/>
              </w:rPr>
            </w:pPr>
            <w:r>
              <w:rPr>
                <w:rFonts w:ascii="Montserrat;Montserrat Medium;sans-serif" w:hAnsi="Montserrat;Montserrat Medium;sans-serif"/>
                <w:b/>
                <w:color w:val="000000"/>
                <w:sz w:val="16"/>
              </w:rPr>
              <w:t>Each person who received or is to receive 5% of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62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rFonts w:ascii="Montserrat;Montserrat Medium;sans-serif" w:hAnsi="Montserrat;Montserrat Medium;sans-serif"/>
                <w:b/>
                <w:color w:val="000000"/>
                <w:sz w:val="16"/>
              </w:rPr>
            </w:pPr>
            <w:r>
              <w:rPr>
                <w:rFonts w:ascii="Montserrat;Montserrat Medium;sans-serif" w:hAnsi="Montserrat;Montserrat Medium;sans-serif"/>
                <w:b/>
                <w:color w:val="000000"/>
                <w:sz w:val="16"/>
              </w:rPr>
              <w:t>All recipients, excluding current executive officers, as a group</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570"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114,248,875</w:t>
            </w:r>
          </w:p>
        </w:tc>
        <w:tc>
          <w:tcPr>
            <w:tcW w:w="19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Summary of U.S. Federal Income Tax Consequences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following summary is intended only as a general guide to the U.S. federal income tax consequences of participation in the Restated Plan. The summary is based on existing U.S. laws and regulations, and there can be no assurance that those laws and regulations will not change. The summary is not complete and does not discuss the tax consequences upon a participant’s death, or the income tax laws of any municipality, state or foreign country in which the participant may reside. Tax consequences for any particular participant may vary based on individual circumstances.</w:t>
      </w:r>
    </w:p>
    <w:p>
      <w:pPr>
        <w:pStyle w:val="TextBody"/>
        <w:bidi w:val="0"/>
        <w:spacing w:before="360" w:after="283"/>
        <w:jc w:val="both"/>
        <w:rPr>
          <w:rFonts w:ascii="Montserrat;sans-serif" w:hAnsi="Montserrat;sans-serif"/>
          <w:b/>
          <w:i/>
          <w:color w:val="000000"/>
          <w:sz w:val="18"/>
        </w:rPr>
      </w:pPr>
      <w:r>
        <w:rPr>
          <w:rFonts w:ascii="Montserrat;sans-serif" w:hAnsi="Montserrat;sans-serif"/>
          <w:b/>
          <w:i/>
          <w:color w:val="000000"/>
          <w:sz w:val="18"/>
        </w:rPr>
        <w:t>Incentive Stock Options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A participant recognizes no taxable income for regular income tax purposes because of the grant or exercise of an option that qualifies as an incentive stock option under Section 422 of the Code. If a participant exercises the option and then later sells or otherwise disposes of the shares acquired through the exercise of the option after both the two-year anniversary of the date the option was granted and the one-year anniversary of the exercise, the participant will recognize a capital gain or loss equal to the difference between the sale price of the shares and the exercise price, and we will not be entitled to any deduction for federal income tax purposes.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However, if the participant disposes of such shares either on or before the two-year anniversary of the date of grant or on or before the one-year anniversary of the date of exercise (a “disqualifying disposition”), any gain up to the excess of the fair market value of the shares on the date of exercise over the exercise price generally will be taxed as ordinary income, unless the shares are disposed of in a transaction in which the participant would not recognize a loss (such as a gift). Any gain in excess of that amount will be a capital gain. If a loss is recognized, there will be no ordinary income, and such loss will be a capital loss. Any ordinary income recognized by the participant upon the disqualifying disposition of the shares generally should be deductible by Nutanix for federal income tax purposes, except to the extent such deduction is limited by applicable provisions of the Code.</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301"/>
        <w:gridCol w:w="2671"/>
      </w:tblGrid>
      <w:tr>
        <w:trPr/>
        <w:tc>
          <w:tcPr>
            <w:tcW w:w="30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82</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234"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25" descr=""/>
                          <pic:cNvPicPr>
                            <a:picLocks noChangeAspect="1" noChangeArrowheads="1"/>
                          </pic:cNvPicPr>
                        </pic:nvPicPr>
                        <pic:blipFill>
                          <a:blip r:embed="rId227"/>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rFonts w:ascii="Montserrat;sans-serif" w:hAnsi="Montserrat;sans-serif"/>
          <w:color w:val="000000"/>
          <w:sz w:val="13"/>
        </w:rPr>
      </w:pPr>
      <w:r>
        <w:rPr>
          <w:rFonts w:ascii="Montserrat;sans-serif" w:hAnsi="Montserrat;sans-serif"/>
          <w:color w:val="000000"/>
          <w:sz w:val="13"/>
        </w:rPr>
        <w:t>Additional Proposals</w:t>
      </w:r>
    </w:p>
    <w:p>
      <w:pPr>
        <w:pStyle w:val="TextBody"/>
        <w:bidi w:val="0"/>
        <w:spacing w:before="60" w:after="283"/>
        <w:jc w:val="right"/>
        <w:rPr>
          <w:rFonts w:ascii="Montserrat;sans-serif" w:hAnsi="Montserrat;sans-serif"/>
          <w:color w:val="000000"/>
          <w:sz w:val="12"/>
        </w:rPr>
      </w:pPr>
      <w:r>
        <w:rPr>
          <w:rFonts w:ascii="Montserrat;sans-serif" w:hAnsi="Montserrat;sans-serif"/>
          <w:color w:val="000000"/>
          <w:sz w:val="12"/>
        </w:rPr>
        <w:t>Proposal 4: Approval of an Amendment to the Amended and Restated 2016 Equity Incentive Plan to Increase the Share Reserve</w:t>
      </w:r>
    </w:p>
    <w:p>
      <w:pPr>
        <w:pStyle w:val="TextBody"/>
        <w:bidi w:val="0"/>
        <w:jc w:val="right"/>
        <w:rPr/>
      </w:pPr>
      <w:r>
        <w:rPr/>
        <w:t> </w:t>
      </w:r>
    </w:p>
    <w:p>
      <w:pPr>
        <w:pStyle w:val="TextBody"/>
        <w:bidi w:val="0"/>
        <w:jc w:val="right"/>
        <w:rPr/>
      </w:pPr>
      <w:r>
        <w:rPr/>
        <w:t> </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For purposes of the alternative minimum tax, the difference between the option exercise price and the fair market value of the shares on the exercise date is treated as an adjustment item in computing the participant’s alternative minimum taxable income in the year of exercise. In addition, special alternative minimum tax rules may apply to certain subsequent disqualifying dispositions of the shares or provide certain basis adjustments or tax credits for purposes.</w:t>
      </w:r>
    </w:p>
    <w:p>
      <w:pPr>
        <w:pStyle w:val="TextBody"/>
        <w:bidi w:val="0"/>
        <w:spacing w:before="360" w:after="283"/>
        <w:jc w:val="both"/>
        <w:rPr>
          <w:rFonts w:ascii="Montserrat;sans-serif" w:hAnsi="Montserrat;sans-serif"/>
          <w:b/>
          <w:i/>
          <w:color w:val="000000"/>
          <w:sz w:val="18"/>
        </w:rPr>
      </w:pPr>
      <w:r>
        <w:rPr>
          <w:rFonts w:ascii="Montserrat;sans-serif" w:hAnsi="Montserrat;sans-serif"/>
          <w:b/>
          <w:i/>
          <w:color w:val="000000"/>
          <w:sz w:val="18"/>
        </w:rPr>
        <w:t>Nonstatutory Stock Options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A participant generally recognizes no taxable income as the result of the grant of such an option. However, upon exercising the option, the participant normally recognizes ordinary income equal to the amount that the fair market value of the shares on such date exceeds the exercise price. If the participant is an employee, such ordinary income generally is subject to withholding of income and employment taxes. Upon the sale of the shares acquired by exercising a nonstatutory stock option, any gain or loss (based on the difference between the sale price and the fair market value on the exercise date) will be taxed as capital gain or loss.</w:t>
      </w:r>
    </w:p>
    <w:p>
      <w:pPr>
        <w:pStyle w:val="TextBody"/>
        <w:bidi w:val="0"/>
        <w:spacing w:before="360" w:after="283"/>
        <w:jc w:val="both"/>
        <w:rPr>
          <w:rFonts w:ascii="Montserrat;sans-serif" w:hAnsi="Montserrat;sans-serif"/>
          <w:b/>
          <w:i/>
          <w:color w:val="000000"/>
          <w:sz w:val="18"/>
        </w:rPr>
      </w:pPr>
      <w:r>
        <w:rPr>
          <w:rFonts w:ascii="Montserrat;sans-serif" w:hAnsi="Montserrat;sans-serif"/>
          <w:b/>
          <w:i/>
          <w:color w:val="000000"/>
          <w:sz w:val="18"/>
        </w:rPr>
        <w:t>Stock Appreciation Rights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In general, no taxable income is reportable when a stock appreciation right is granted to a participant. Upon exercise, the participant generally will recognize ordinary income equal to the fair market value of any shares received. If the participant is an employee, such ordinary income generally is subject to withholding of income and employment taxes. Upon the sale of the shares acquired by exercising a stock appreciation right, any gain or loss (based on the difference between the sale price and the fair market value on the exercise date) will be taxed as capital gain or loss.</w:t>
      </w:r>
    </w:p>
    <w:p>
      <w:pPr>
        <w:pStyle w:val="TextBody"/>
        <w:bidi w:val="0"/>
        <w:spacing w:before="360" w:after="283"/>
        <w:jc w:val="both"/>
        <w:rPr>
          <w:rFonts w:ascii="Montserrat;sans-serif" w:hAnsi="Montserrat;sans-serif"/>
          <w:b/>
          <w:i/>
          <w:color w:val="000000"/>
          <w:sz w:val="18"/>
        </w:rPr>
      </w:pPr>
      <w:r>
        <w:rPr>
          <w:rFonts w:ascii="Montserrat;sans-serif" w:hAnsi="Montserrat;sans-serif"/>
          <w:b/>
          <w:i/>
          <w:color w:val="000000"/>
          <w:sz w:val="18"/>
        </w:rPr>
        <w:t>Restricted Stock Awards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A participant acquiring shares of restricted stock generally will recognize ordinary income equal to the fair market value of the shares on the vesting date, reduced by any amount paid by the participant for such shares. If the participant is an employee, such ordinary income generally is subject to withholding of income and employment taxes. The participant may elect, under Section 83(b) of the Code to accelerate the ordinary income tax event to the date of acquisition by filing an election with the Internal Revenue Service no later than 30 days after the date the shares are acquired. Upon the sale of shares acquired under a restricted stock award, any gain or loss, based on the difference between the sale price and the fair market value on the date the ordinary income tax event occurs, will be taxed as capital gain or loss.</w:t>
      </w:r>
    </w:p>
    <w:p>
      <w:pPr>
        <w:pStyle w:val="TextBody"/>
        <w:bidi w:val="0"/>
        <w:spacing w:before="360" w:after="283"/>
        <w:jc w:val="both"/>
        <w:rPr>
          <w:rFonts w:ascii="Montserrat;sans-serif" w:hAnsi="Montserrat;sans-serif"/>
          <w:b/>
          <w:i/>
          <w:color w:val="000000"/>
          <w:sz w:val="18"/>
        </w:rPr>
      </w:pPr>
      <w:r>
        <w:rPr>
          <w:rFonts w:ascii="Montserrat;sans-serif" w:hAnsi="Montserrat;sans-serif"/>
          <w:b/>
          <w:i/>
          <w:color w:val="000000"/>
          <w:sz w:val="18"/>
        </w:rPr>
        <w:t>Restricted Stock Unit Awards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There are no immediate tax consequences of receiving an award of restricted stock units. A participant who is awarded restricted stock units generally will recognize ordinary income equal to the fair market value of shares issued to such participant on the vesting date or, if later, the settlement date elected by the administrator or a participant. If the participant is an employee, such ordinary income generally is subject to withholding of income and employment taxes. Any additional gain or loss recognized upon any later disposition of any shares received would be capital gain or loss.</w:t>
      </w:r>
    </w:p>
    <w:p>
      <w:pPr>
        <w:pStyle w:val="TextBody"/>
        <w:bidi w:val="0"/>
        <w:spacing w:before="360" w:after="283"/>
        <w:jc w:val="both"/>
        <w:rPr>
          <w:rFonts w:ascii="Montserrat;sans-serif" w:hAnsi="Montserrat;sans-serif"/>
          <w:b/>
          <w:i/>
          <w:color w:val="000000"/>
          <w:sz w:val="18"/>
        </w:rPr>
      </w:pPr>
      <w:r>
        <w:rPr>
          <w:rFonts w:ascii="Montserrat;sans-serif" w:hAnsi="Montserrat;sans-serif"/>
          <w:b/>
          <w:i/>
          <w:color w:val="000000"/>
          <w:sz w:val="18"/>
        </w:rPr>
        <w:t>Performance Shares and Performance Unit Awards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A participant generally will recognize no income upon the grant of a performance share or a performance unit award. Upon the settlement of such awards, participants normally will recognize ordinary income in the year of receipt in an amount equal to the cash received and the fair market value of any cash or unrestricted shares received. If the participant is an employee, such ordinary income generally is subject to withholding of income and employment taxes. Upon the sale of any shares received, any gain or loss, based on the difference between the sale price and the fair market value on the date the ordinary income tax event occurs, will be taxed as capital gain or loss.</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2641"/>
        <w:gridCol w:w="331"/>
      </w:tblGrid>
      <w:tr>
        <w:trPr/>
        <w:tc>
          <w:tcPr>
            <w:tcW w:w="26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235"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26" descr=""/>
                          <pic:cNvPicPr>
                            <a:picLocks noChangeAspect="1" noChangeArrowheads="1"/>
                          </pic:cNvPicPr>
                        </pic:nvPicPr>
                        <pic:blipFill>
                          <a:blip r:embed="rId228"/>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3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83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rFonts w:ascii="Montserrat;sans-serif" w:hAnsi="Montserrat;sans-serif"/>
          <w:color w:val="000000"/>
          <w:sz w:val="13"/>
        </w:rPr>
      </w:pPr>
      <w:r>
        <w:rPr>
          <w:rFonts w:ascii="Montserrat;sans-serif" w:hAnsi="Montserrat;sans-serif"/>
          <w:color w:val="000000"/>
          <w:sz w:val="13"/>
        </w:rPr>
        <w:t>Additional Proposals</w:t>
      </w:r>
    </w:p>
    <w:p>
      <w:pPr>
        <w:pStyle w:val="TextBody"/>
        <w:bidi w:val="0"/>
        <w:spacing w:before="60" w:after="283"/>
        <w:jc w:val="left"/>
        <w:rPr>
          <w:rFonts w:ascii="Montserrat;sans-serif" w:hAnsi="Montserrat;sans-serif"/>
          <w:color w:val="000000"/>
          <w:sz w:val="12"/>
        </w:rPr>
      </w:pPr>
      <w:r>
        <w:rPr>
          <w:rFonts w:ascii="Montserrat;sans-serif" w:hAnsi="Montserrat;sans-serif"/>
          <w:color w:val="000000"/>
          <w:sz w:val="12"/>
        </w:rPr>
        <w:t>Proposal 4: Approval of an Amendment to the Amended and Restated 2016 Equity Incentive Plan to Increase the Share Reserve</w:t>
      </w:r>
    </w:p>
    <w:p>
      <w:pPr>
        <w:pStyle w:val="TextBody"/>
        <w:bidi w:val="0"/>
        <w:jc w:val="left"/>
        <w:rPr/>
      </w:pPr>
      <w:r>
        <w:rPr/>
        <w:t> </w:t>
      </w:r>
    </w:p>
    <w:p>
      <w:pPr>
        <w:pStyle w:val="TextBody"/>
        <w:bidi w:val="0"/>
        <w:jc w:val="left"/>
        <w:rPr/>
      </w:pPr>
      <w:r>
        <w:rPr/>
        <w:t> </w:t>
      </w:r>
    </w:p>
    <w:p>
      <w:pPr>
        <w:pStyle w:val="TextBody"/>
        <w:bidi w:val="0"/>
        <w:spacing w:before="360" w:after="283"/>
        <w:jc w:val="both"/>
        <w:rPr>
          <w:rFonts w:ascii="Montserrat;sans-serif" w:hAnsi="Montserrat;sans-serif"/>
          <w:b/>
          <w:i/>
          <w:color w:val="000000"/>
          <w:sz w:val="18"/>
        </w:rPr>
      </w:pPr>
      <w:r>
        <w:rPr>
          <w:rFonts w:ascii="Montserrat;sans-serif" w:hAnsi="Montserrat;sans-serif"/>
          <w:b/>
          <w:i/>
          <w:color w:val="000000"/>
          <w:sz w:val="18"/>
        </w:rPr>
        <w:t>Section 409A</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Section 409A of the Code provides certain requirements for non-qualified deferred compensation arrangements with respect to an individual’s deferral and distribution elections and permissible distribution events. Awards granted under the Restated Plan with a deferral feature will be subject to the requirements of Section 409A. If an award is subject to and fails to satisfy the requirements of Section 409A of the Code, the recipient of that award may recognize ordinary income on the amounts deferred under the award, to the extent vested, which may be before the compensation is actually or constructively received. Also, if an award subject to Section 409A of the Code violates the provisions of Section 409A of the Code, Section 409A of the Code imposes an additional 20% federal income tax on compensation recognized as ordinary income, and interest on such deferred compensation.</w:t>
      </w:r>
    </w:p>
    <w:p>
      <w:pPr>
        <w:pStyle w:val="TextBody"/>
        <w:bidi w:val="0"/>
        <w:spacing w:before="360" w:after="283"/>
        <w:jc w:val="both"/>
        <w:rPr>
          <w:rFonts w:ascii="Montserrat;sans-serif" w:hAnsi="Montserrat;sans-serif"/>
          <w:b/>
          <w:i/>
          <w:color w:val="000000"/>
          <w:sz w:val="18"/>
        </w:rPr>
      </w:pPr>
      <w:r>
        <w:rPr>
          <w:rFonts w:ascii="Montserrat;sans-serif" w:hAnsi="Montserrat;sans-serif"/>
          <w:b/>
          <w:i/>
          <w:color w:val="000000"/>
          <w:sz w:val="18"/>
        </w:rPr>
        <w:t>Tax Effect for Nutanix</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We generally will be entitled to a tax deduction in connection with an award under the Restated Plan equal to the ordinary income realized by a participant when the participant recognizes such income (for example, the exercise of a nonstatutory stock option) except to the extent such deduction is limited by applicable provisions of the Code. Special rules limit the deductibility of compensation paid to our chief executive officer, chief financial officer, and certain other highly compensated executive officers as determined under Section 162(m) of the Code and applicable guidance. Under Section 162(m) of the Code, the annual compensation paid to any of these specified executives will be deductible only to the extent that it does not exceed $1,000,000. For additional details regarding the deductibility of executive compensation, see “</w:t>
      </w:r>
      <w:r>
        <w:rPr>
          <w:rFonts w:ascii="Montserrat;sans-serif" w:hAnsi="Montserrat;sans-serif"/>
          <w:color w:val="7855FA"/>
          <w:sz w:val="18"/>
        </w:rPr>
        <w:t>Executive Compensation – Compensation Discussion and Analysis – Impact of Accounting and Tax Requirements on Compensation</w:t>
      </w:r>
      <w:r>
        <w:rPr>
          <w:rFonts w:ascii="Montserrat;sans-serif" w:hAnsi="Montserrat;sans-serif"/>
          <w:color w:val="000000"/>
          <w:sz w:val="18"/>
        </w:rPr>
        <w:t>” above.</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FOREGOING IS ONLY A SUMMARY OF THE EFFECT OF U.S. FEDERAL INCOME TAXATION UPON PARTICIPANTS AND NUTANIX WITH RESPECT TO AWARDS UNDER THE AMENDED AND RESTATED 2016 PLAN. IT DOES NOT PURPORT TO BE COMPLETE AND DOES NOT DISCUSS THE IMPACT OF EMPLOYMENT OR OTHER TAX REQUIREMENTS, THE TAX CONSEQUENCES OF A PARTICIPANT’S DEATH, OR THE PROVISIONS OF THE INCOME TAX LAWS OF ANY MUNICIPALITY, STATE, OR FOREIGN COUNTRY IN WHICH THE PARTICIPANT MAY RESIDE.</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Vote Required</w:t>
      </w:r>
    </w:p>
    <w:p>
      <w:pPr>
        <w:pStyle w:val="TextBody"/>
        <w:bidi w:val="0"/>
        <w:spacing w:before="120" w:after="283"/>
        <w:jc w:val="both"/>
        <w:rPr>
          <w:rFonts w:ascii="Montserrat" w:hAnsi="Montserrat"/>
          <w:sz w:val="18"/>
        </w:rPr>
      </w:pPr>
      <w:r>
        <w:rPr>
          <w:rFonts w:ascii="Montserrat;sans-serif" w:hAnsi="Montserrat;sans-serif"/>
          <w:color w:val="000000"/>
          <w:sz w:val="18"/>
        </w:rPr>
        <w:t xml:space="preserve">Approval of this Proposal 4 requires the affirmative vote of a majority of the voting power of the shares present at the Annual Meeting or represented by proxy and entitled to vote on the proposal. Broker non-votes will not affect the outcome of the proposal, and abstentions will have the same effect as votes </w:t>
      </w:r>
      <w:r>
        <w:rPr>
          <w:rFonts w:ascii="Montserrat;Montserrat Medium;sans-serif" w:hAnsi="Montserrat;Montserrat Medium;sans-serif"/>
          <w:b/>
          <w:color w:val="000000"/>
          <w:sz w:val="18"/>
        </w:rPr>
        <w:t xml:space="preserve">AGAINST </w:t>
      </w:r>
      <w:r>
        <w:rPr>
          <w:rFonts w:ascii="Montserrat;sans-serif" w:hAnsi="Montserrat;sans-serif"/>
          <w:color w:val="000000"/>
          <w:sz w:val="18"/>
        </w:rPr>
        <w:t>the proposal.</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301"/>
        <w:gridCol w:w="2671"/>
      </w:tblGrid>
      <w:tr>
        <w:trPr/>
        <w:tc>
          <w:tcPr>
            <w:tcW w:w="30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84</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236"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27" descr=""/>
                          <pic:cNvPicPr>
                            <a:picLocks noChangeAspect="1" noChangeArrowheads="1"/>
                          </pic:cNvPicPr>
                        </pic:nvPicPr>
                        <pic:blipFill>
                          <a:blip r:embed="rId229"/>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pPr>
      <w:r>
        <w:rPr/>
        <w:t> </w:t>
      </w:r>
    </w:p>
    <w:p>
      <w:pPr>
        <w:pStyle w:val="TextBody"/>
        <w:bidi w:val="0"/>
        <w:spacing w:before="60" w:after="283"/>
        <w:jc w:val="right"/>
        <w:rPr/>
      </w:pPr>
      <w:r>
        <w:rPr/>
        <w:t> </w:t>
      </w:r>
    </w:p>
    <w:p>
      <w:pPr>
        <w:pStyle w:val="TextBody"/>
        <w:bidi w:val="0"/>
        <w:jc w:val="right"/>
        <w:rPr/>
      </w:pPr>
      <w:r>
        <w:rPr/>
        <w:t> </w:t>
      </w:r>
    </w:p>
    <w:p>
      <w:pPr>
        <w:pStyle w:val="TextBody"/>
        <w:bidi w:val="0"/>
        <w:jc w:val="right"/>
        <w:rPr/>
      </w:pPr>
      <w:r>
        <w:rPr/>
        <w:t> </w:t>
      </w:r>
    </w:p>
    <w:p>
      <w:pPr>
        <w:pStyle w:val="Heading1"/>
        <w:bidi w:val="0"/>
        <w:jc w:val="left"/>
        <w:rPr>
          <w:rFonts w:ascii="Montserrat;sans-serif" w:hAnsi="Montserrat;sans-serif"/>
          <w:color w:val="000000"/>
          <w:sz w:val="56"/>
        </w:rPr>
      </w:pPr>
      <w:bookmarkStart w:id="27" w:name="stock_ownership_information"/>
      <w:bookmarkEnd w:id="27"/>
      <w:r>
        <w:rPr>
          <w:rFonts w:ascii="Montserrat;sans-serif" w:hAnsi="Montserrat;sans-serif"/>
          <w:color w:val="000000"/>
          <w:sz w:val="56"/>
        </w:rPr>
        <w:t>Stock Ownership Information</w:t>
      </w:r>
    </w:p>
    <w:p>
      <w:pPr>
        <w:pStyle w:val="Heading2"/>
        <w:bidi w:val="0"/>
        <w:spacing w:before="480" w:after="283"/>
        <w:jc w:val="left"/>
        <w:rPr>
          <w:rFonts w:ascii="Montserrat;Montserrat Medium;sans-serif" w:hAnsi="Montserrat;Montserrat Medium;sans-serif"/>
          <w:b/>
          <w:color w:val="7855FA"/>
          <w:sz w:val="28"/>
        </w:rPr>
      </w:pPr>
      <w:bookmarkStart w:id="28" w:name="security_ownership_of_certain_beneficial"/>
      <w:bookmarkEnd w:id="28"/>
      <w:r>
        <w:rPr>
          <w:rFonts w:ascii="Montserrat;Montserrat Medium;sans-serif" w:hAnsi="Montserrat;Montserrat Medium;sans-serif"/>
          <w:b/>
          <w:color w:val="7855FA"/>
          <w:sz w:val="28"/>
        </w:rPr>
        <w:t>Security Ownership of Certain Beneficial Owners and Management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following table sets forth, as of the close of business on October 13, 2026, except to the extent indicated otherwise in the footnotes to the table, certain information with respect to the beneficial ownership of our common stock: (i) by each person known by us to be the beneficial owner of more than five percent of the outstanding shares of Class A common stock; (ii) by each of our directors; (iii) by each of our NEOs; and (iv) by all of our current executive officers and directors as a group.</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percentage of shares beneficially owned shown in the table is based on 272,732,283 shares of Class A common stock as of the close of business on October 13, 2026. In computing the number of shares of capital stock beneficially owned by a person and the percentage ownership of such person, we deemed to be outstanding all shares of our capital stock with respect to which the individual has the right to acquire beneficial ownership within 60 days of October 13, 2026 through the exercise of any stock option or other right. However, we did not deem such shares of our capital stock outstanding for the purpose of computing the percentage ownership of any other person.</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Beneficial ownership is determined in accordance with SEC rules and generally includes any shares over which a person exercises sole or shared voting or investment power. Unless otherwise indicated, the persons or entities identified in this table have sole voting and investment power with respect to all shares shown beneficially owned by them, subject to applicable community property laws. The information contained in the following table is not necessarily indicative of beneficial ownership for any other purpose, and the inclusion of any shares in the table does not constitute an admission of beneficial ownership of those shares. Except as otherwise noted below, the address for persons listed in the table is c/o Nutanix, Inc., 1740 Technology Drive, Suite 150, San Jose, California 95110. The information provided in the table below is based on our records, information filed with the SEC and information provided to us, except where otherwise noted.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213"/>
        <w:gridCol w:w="146"/>
        <w:gridCol w:w="285"/>
        <w:gridCol w:w="2324"/>
        <w:gridCol w:w="146"/>
        <w:gridCol w:w="146"/>
        <w:gridCol w:w="146"/>
        <w:gridCol w:w="406"/>
        <w:gridCol w:w="393"/>
      </w:tblGrid>
      <w:tr>
        <w:trPr/>
        <w:tc>
          <w:tcPr>
            <w:tcW w:w="62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6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1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Montserrat;sans-serif" w:hAnsi="Montserrat;sans-serif"/>
                <w:b/>
                <w:color w:val="7855FA"/>
                <w:sz w:val="18"/>
              </w:rPr>
            </w:pPr>
            <w:r>
              <w:rPr>
                <w:rFonts w:ascii="Montserrat;sans-serif" w:hAnsi="Montserrat;sans-serif"/>
                <w:b/>
                <w:color w:val="7855FA"/>
                <w:sz w:val="18"/>
              </w:rPr>
              <w:t>Name of Beneficial Owner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8"/>
              </w:rPr>
            </w:pPr>
            <w:r>
              <w:rPr>
                <w:rFonts w:ascii="Montserrat;sans-serif" w:hAnsi="Montserrat;sans-serif"/>
                <w:b/>
                <w:color w:val="7855FA"/>
                <w:sz w:val="18"/>
              </w:rPr>
              <w:t>Shares Beneficially Owned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8"/>
              </w:rPr>
            </w:pPr>
            <w:r>
              <w:rPr>
                <w:rFonts w:ascii="Montserrat;sans-serif" w:hAnsi="Montserrat;sans-serif"/>
                <w:b/>
                <w:color w:val="7855FA"/>
                <w:sz w:val="18"/>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3"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2609"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213"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7855FA"/>
                <w:sz w:val="17"/>
              </w:rPr>
            </w:pPr>
            <w:r>
              <w:rPr>
                <w:rFonts w:ascii="Montserrat;Montserrat Medium;sans-serif" w:hAnsi="Montserrat;Montserrat Medium;sans-serif"/>
                <w:b/>
                <w:color w:val="7855FA"/>
                <w:sz w:val="17"/>
              </w:rPr>
              <w:t>5% Stockholders:</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2609"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13"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ind w:left="200" w:right="0" w:firstLine="200"/>
              <w:jc w:val="left"/>
              <w:rPr>
                <w:rFonts w:ascii="Montserrat Medium;sans-serif" w:hAnsi="Montserrat Medium;sans-serif"/>
                <w:sz w:val="17"/>
              </w:rPr>
            </w:pPr>
            <w:r>
              <w:rPr>
                <w:rFonts w:ascii="Montserrat;Montserrat Medium;sans-serif" w:hAnsi="Montserrat;Montserrat Medium;sans-serif"/>
                <w:b/>
                <w:color w:val="000000"/>
                <w:sz w:val="17"/>
              </w:rPr>
              <w:t>Entities affiliated with Fidelity</w:t>
            </w:r>
            <w:r>
              <w:rPr>
                <w:rFonts w:ascii="Montserrat;Montserrat Medium;sans-serif" w:hAnsi="Montserrat;Montserrat Medium;sans-serif"/>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36,476,326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13.4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6213"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ind w:left="200" w:right="0" w:firstLine="200"/>
              <w:jc w:val="left"/>
              <w:rPr>
                <w:rFonts w:ascii="Montserrat Medium;sans-serif" w:hAnsi="Montserrat Medium;sans-serif"/>
                <w:sz w:val="17"/>
              </w:rPr>
            </w:pPr>
            <w:r>
              <w:rPr>
                <w:rFonts w:ascii="Montserrat;Montserrat Medium;sans-serif" w:hAnsi="Montserrat;Montserrat Medium;sans-serif"/>
                <w:b/>
                <w:color w:val="000000"/>
                <w:sz w:val="17"/>
              </w:rPr>
              <w:t xml:space="preserve">Entities affiliated with BlackRock </w:t>
            </w:r>
            <w:r>
              <w:rPr>
                <w:rFonts w:ascii="Montserrat;Montserrat Medium;sans-serif" w:hAnsi="Montserrat;Montserrat Medium;sans-serif"/>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27,876,671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10.2</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6213"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ind w:left="200" w:right="0" w:firstLine="200"/>
              <w:jc w:val="left"/>
              <w:rPr>
                <w:rFonts w:ascii="Montserrat Medium;sans-serif" w:hAnsi="Montserrat Medium;sans-serif"/>
                <w:sz w:val="17"/>
              </w:rPr>
            </w:pPr>
            <w:r>
              <w:rPr>
                <w:rFonts w:ascii="Montserrat;Montserrat Medium;sans-serif" w:hAnsi="Montserrat;Montserrat Medium;sans-serif"/>
                <w:b/>
                <w:color w:val="000000"/>
                <w:sz w:val="17"/>
              </w:rPr>
              <w:t>Entities affiliated with AQR Capital Management LLC</w:t>
            </w:r>
            <w:r>
              <w:rPr>
                <w:rFonts w:ascii="Montserrat;Montserrat Medium;sans-serif" w:hAnsi="Montserrat;Montserrat Medium;sans-serif"/>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15,155,213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5.6</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6213"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ind w:left="200" w:right="0" w:firstLine="200"/>
              <w:jc w:val="left"/>
              <w:rPr>
                <w:rFonts w:ascii="Montserrat Medium;sans-serif" w:hAnsi="Montserrat Medium;sans-serif"/>
                <w:sz w:val="17"/>
              </w:rPr>
            </w:pPr>
            <w:r>
              <w:rPr>
                <w:rFonts w:ascii="Montserrat;Montserrat Medium;sans-serif" w:hAnsi="Montserrat;Montserrat Medium;sans-serif"/>
                <w:b/>
                <w:color w:val="000000"/>
                <w:sz w:val="17"/>
              </w:rPr>
              <w:t>Entities affiliated with Vanguard Capital Management</w:t>
            </w:r>
            <w:r>
              <w:rPr>
                <w:rFonts w:ascii="Montserrat;Montserrat Medium;sans-serif" w:hAnsi="Montserrat;Montserrat Medium;sans-serif"/>
                <w:b/>
                <w:color w:val="000000"/>
                <w:sz w:val="11"/>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14,131,782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5.2</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6213"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7855FA"/>
                <w:sz w:val="17"/>
              </w:rPr>
            </w:pPr>
            <w:r>
              <w:rPr>
                <w:rFonts w:ascii="Montserrat;Montserrat Medium;sans-serif" w:hAnsi="Montserrat;Montserrat Medium;sans-serif"/>
                <w:b/>
                <w:color w:val="7855FA"/>
                <w:sz w:val="17"/>
              </w:rPr>
              <w:t>Named Executive Officers and Directors:</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2609"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393"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62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00" w:right="0" w:firstLine="20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Rajiv Ramaswami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414,339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62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00" w:right="0" w:firstLine="20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Rukmini Sivaraman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92,775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62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00" w:right="0" w:firstLine="200"/>
              <w:jc w:val="left"/>
              <w:rPr>
                <w:rFonts w:ascii="Montserrat;Montserrat Medium;sans-serif" w:hAnsi="Montserrat;Montserrat Medium;sans-serif"/>
                <w:b/>
                <w:color w:val="000000"/>
                <w:sz w:val="17"/>
              </w:rPr>
            </w:pPr>
            <w:r>
              <w:rPr>
                <w:rFonts w:ascii="Montserrat;Montserrat Medium;sans-serif" w:hAnsi="Montserrat;Montserrat Medium;sans-serif"/>
                <w:b/>
                <w:color w:val="000000"/>
                <w:sz w:val="17"/>
              </w:rPr>
              <w:t>Brian Martin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28,677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6213"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ind w:left="200" w:right="0" w:firstLine="200"/>
              <w:jc w:val="left"/>
              <w:rPr>
                <w:rFonts w:ascii="Montserrat Medium;sans-serif" w:hAnsi="Montserrat Medium;sans-serif"/>
                <w:sz w:val="17"/>
              </w:rPr>
            </w:pPr>
            <w:r>
              <w:rPr>
                <w:rFonts w:ascii="Montserrat;Montserrat Medium;sans-serif" w:hAnsi="Montserrat;Montserrat Medium;sans-serif"/>
                <w:b/>
                <w:color w:val="000000"/>
                <w:sz w:val="17"/>
              </w:rPr>
              <w:t>Eric K. Brandt</w:t>
            </w:r>
            <w:r>
              <w:rPr>
                <w:rFonts w:ascii="Montserrat;Montserrat Medium;sans-serif" w:hAnsi="Montserrat;Montserrat Medium;sans-serif"/>
                <w:b/>
                <w:color w:val="000000"/>
                <w:sz w:val="11"/>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6,698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6213"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ind w:left="200" w:right="0" w:firstLine="200"/>
              <w:jc w:val="left"/>
              <w:rPr>
                <w:rFonts w:ascii="Montserrat Medium;sans-serif" w:hAnsi="Montserrat Medium;sans-serif"/>
                <w:sz w:val="17"/>
              </w:rPr>
            </w:pPr>
            <w:r>
              <w:rPr>
                <w:rFonts w:ascii="Montserrat;Montserrat Medium;sans-serif" w:hAnsi="Montserrat;Montserrat Medium;sans-serif"/>
                <w:b/>
                <w:color w:val="000000"/>
                <w:sz w:val="17"/>
              </w:rPr>
              <w:t>Craig Conway</w:t>
            </w:r>
            <w:r>
              <w:rPr>
                <w:rFonts w:ascii="Montserrat;Montserrat Medium;sans-serif" w:hAnsi="Montserrat;Montserrat Medium;sans-serif"/>
                <w:b/>
                <w:color w:val="000000"/>
                <w:sz w:val="11"/>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47,685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6213"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ind w:left="200" w:right="0" w:firstLine="200"/>
              <w:jc w:val="left"/>
              <w:rPr>
                <w:rFonts w:ascii="Montserrat Medium;sans-serif" w:hAnsi="Montserrat Medium;sans-serif"/>
                <w:sz w:val="17"/>
              </w:rPr>
            </w:pPr>
            <w:r>
              <w:rPr>
                <w:rFonts w:ascii="Montserrat;Montserrat Medium;sans-serif" w:hAnsi="Montserrat;Montserrat Medium;sans-serif"/>
                <w:b/>
                <w:color w:val="000000"/>
                <w:sz w:val="17"/>
              </w:rPr>
              <w:t>Max de Groen</w:t>
            </w:r>
            <w:r>
              <w:rPr>
                <w:rFonts w:ascii="Montserrat;Montserrat Medium;sans-serif" w:hAnsi="Montserrat;Montserrat Medium;sans-serif"/>
                <w:b/>
                <w:color w:val="000000"/>
                <w:sz w:val="11"/>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5,400,619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1.9</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13"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ind w:left="200" w:right="0" w:firstLine="200"/>
              <w:jc w:val="left"/>
              <w:rPr>
                <w:rFonts w:ascii="Montserrat Medium;sans-serif" w:hAnsi="Montserrat Medium;sans-serif"/>
                <w:sz w:val="17"/>
              </w:rPr>
            </w:pPr>
            <w:r>
              <w:rPr>
                <w:rFonts w:ascii="Montserrat;Montserrat Medium;sans-serif" w:hAnsi="Montserrat;Montserrat Medium;sans-serif"/>
                <w:b/>
                <w:color w:val="000000"/>
                <w:sz w:val="17"/>
              </w:rPr>
              <w:t>Virginia Gambale</w:t>
            </w:r>
            <w:r>
              <w:rPr>
                <w:rFonts w:ascii="Montserrat;Montserrat Medium;sans-serif" w:hAnsi="Montserrat;Montserrat Medium;sans-serif"/>
                <w:b/>
                <w:color w:val="000000"/>
                <w:sz w:val="11"/>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46,564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6213"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ind w:left="200" w:right="0" w:firstLine="200"/>
              <w:jc w:val="left"/>
              <w:rPr>
                <w:rFonts w:ascii="Montserrat Medium;sans-serif" w:hAnsi="Montserrat Medium;sans-serif"/>
                <w:sz w:val="17"/>
              </w:rPr>
            </w:pPr>
            <w:r>
              <w:rPr>
                <w:rFonts w:ascii="Montserrat;Montserrat Medium;sans-serif" w:hAnsi="Montserrat;Montserrat Medium;sans-serif"/>
                <w:b/>
                <w:color w:val="000000"/>
                <w:sz w:val="17"/>
              </w:rPr>
              <w:t>Steven J. Gomo</w:t>
            </w:r>
            <w:r>
              <w:rPr>
                <w:rFonts w:ascii="Montserrat;Montserrat Medium;sans-serif" w:hAnsi="Montserrat;Montserrat Medium;sans-serif"/>
                <w:b/>
                <w:color w:val="000000"/>
                <w:sz w:val="11"/>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62,484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6213"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ind w:left="200" w:right="0" w:firstLine="200"/>
              <w:jc w:val="left"/>
              <w:rPr>
                <w:rFonts w:ascii="Montserrat Medium;sans-serif" w:hAnsi="Montserrat Medium;sans-serif"/>
                <w:sz w:val="17"/>
              </w:rPr>
            </w:pPr>
            <w:r>
              <w:rPr>
                <w:rFonts w:ascii="Montserrat;Montserrat Medium;sans-serif" w:hAnsi="Montserrat;Montserrat Medium;sans-serif"/>
                <w:b/>
                <w:color w:val="000000"/>
                <w:sz w:val="17"/>
              </w:rPr>
              <w:t>Greg Lavender</w:t>
            </w:r>
            <w:r>
              <w:rPr>
                <w:rFonts w:ascii="Montserrat;Montserrat Medium;sans-serif" w:hAnsi="Montserrat;Montserrat Medium;sans-serif"/>
                <w:b/>
                <w:color w:val="000000"/>
                <w:sz w:val="11"/>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5,431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6213"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ind w:left="200" w:right="0" w:firstLine="200"/>
              <w:jc w:val="left"/>
              <w:rPr>
                <w:rFonts w:ascii="Montserrat Medium;sans-serif" w:hAnsi="Montserrat Medium;sans-serif"/>
                <w:sz w:val="17"/>
              </w:rPr>
            </w:pPr>
            <w:r>
              <w:rPr>
                <w:rFonts w:ascii="Montserrat;Montserrat Medium;sans-serif" w:hAnsi="Montserrat;Montserrat Medium;sans-serif"/>
                <w:b/>
                <w:color w:val="000000"/>
                <w:sz w:val="17"/>
              </w:rPr>
              <w:t>Gayle Sheppard</w:t>
            </w:r>
            <w:r>
              <w:rPr>
                <w:rFonts w:ascii="Montserrat;Montserrat Medium;sans-serif" w:hAnsi="Montserrat;Montserrat Medium;sans-serif"/>
                <w:b/>
                <w:color w:val="000000"/>
                <w:sz w:val="11"/>
              </w:rPr>
              <w:t>(11)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23,488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6213"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ind w:left="200" w:right="0" w:firstLine="200"/>
              <w:jc w:val="left"/>
              <w:rPr>
                <w:rFonts w:ascii="Montserrat Medium;sans-serif" w:hAnsi="Montserrat Medium;sans-serif"/>
                <w:sz w:val="17"/>
              </w:rPr>
            </w:pPr>
            <w:r>
              <w:rPr>
                <w:rFonts w:ascii="Montserrat;Montserrat Medium;sans-serif" w:hAnsi="Montserrat;Montserrat Medium;sans-serif"/>
                <w:b/>
                <w:color w:val="000000"/>
                <w:sz w:val="17"/>
              </w:rPr>
              <w:t>Mark Templeton</w:t>
            </w:r>
            <w:r>
              <w:rPr>
                <w:rFonts w:ascii="Montserrat;Montserrat Medium;sans-serif" w:hAnsi="Montserrat;Montserrat Medium;sans-serif"/>
                <w:b/>
                <w:color w:val="000000"/>
                <w:sz w:val="11"/>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29,711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6213" w:type="dxa"/>
            <w:tcBorders>
              <w:bottom w:val="single" w:sz="4" w:space="0" w:color="7855FA"/>
            </w:tcBorders>
            <w:shd w:fill="FFFFFF" w:val="clear"/>
            <w:tcMar>
              <w:top w:w="0" w:type="dxa"/>
              <w:left w:w="0" w:type="dxa"/>
              <w:right w:w="0" w:type="dxa"/>
            </w:tcMar>
            <w:vAlign w:val="center"/>
          </w:tcPr>
          <w:p>
            <w:pPr>
              <w:pStyle w:val="TableContents"/>
              <w:bidi w:val="0"/>
              <w:spacing w:lineRule="auto" w:line="360" w:before="0" w:after="283"/>
              <w:ind w:left="200" w:right="0" w:firstLine="200"/>
              <w:jc w:val="left"/>
              <w:rPr>
                <w:rFonts w:ascii="Montserrat Medium;sans-serif" w:hAnsi="Montserrat Medium;sans-serif"/>
                <w:sz w:val="17"/>
              </w:rPr>
            </w:pPr>
            <w:r>
              <w:rPr>
                <w:rFonts w:ascii="Montserrat;Montserrat Medium;sans-serif" w:hAnsi="Montserrat;Montserrat Medium;sans-serif"/>
                <w:b/>
                <w:color w:val="000000"/>
                <w:sz w:val="17"/>
              </w:rPr>
              <w:t>All current directors and executive officers as a group (11 persons)</w:t>
            </w:r>
            <w:r>
              <w:rPr>
                <w:rFonts w:ascii="Montserrat;Montserrat Medium;sans-serif" w:hAnsi="Montserrat;Montserrat Medium;sans-serif"/>
                <w:b/>
                <w:color w:val="000000"/>
                <w:sz w:val="11"/>
              </w:rPr>
              <w:t>(13)</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2324"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6,158,471</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gridSpan w:val="2"/>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2.3</w:t>
            </w:r>
          </w:p>
        </w:tc>
        <w:tc>
          <w:tcPr>
            <w:tcW w:w="393"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Montserrat;sans-serif" w:hAnsi="Montserrat;sans-serif"/>
          <w:color w:val="000000"/>
          <w:sz w:val="16"/>
        </w:rPr>
      </w:pPr>
      <w:r>
        <w:rPr>
          <w:rFonts w:ascii="Montserrat;sans-serif" w:hAnsi="Montserrat;sans-serif"/>
          <w:color w:val="000000"/>
          <w:sz w:val="16"/>
        </w:rPr>
        <w:t>* Denotes less than 1%</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2641"/>
        <w:gridCol w:w="331"/>
      </w:tblGrid>
      <w:tr>
        <w:trPr/>
        <w:tc>
          <w:tcPr>
            <w:tcW w:w="26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237"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28" descr=""/>
                          <pic:cNvPicPr>
                            <a:picLocks noChangeAspect="1" noChangeArrowheads="1"/>
                          </pic:cNvPicPr>
                        </pic:nvPicPr>
                        <pic:blipFill>
                          <a:blip r:embed="rId230"/>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3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85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rFonts w:ascii="Montserrat;sans-serif" w:hAnsi="Montserrat;sans-serif"/>
          <w:color w:val="000000"/>
          <w:sz w:val="13"/>
        </w:rPr>
      </w:pPr>
      <w:r>
        <w:rPr>
          <w:rFonts w:ascii="Montserrat;sans-serif" w:hAnsi="Montserrat;sans-serif"/>
          <w:color w:val="000000"/>
          <w:sz w:val="13"/>
        </w:rPr>
        <w:t>Stock Ownership Information</w:t>
      </w:r>
    </w:p>
    <w:p>
      <w:pPr>
        <w:pStyle w:val="TextBody"/>
        <w:bidi w:val="0"/>
        <w:spacing w:before="60" w:after="283"/>
        <w:jc w:val="left"/>
        <w:rPr>
          <w:rFonts w:ascii="Montserrat;sans-serif" w:hAnsi="Montserrat;sans-serif"/>
          <w:color w:val="000000"/>
          <w:sz w:val="12"/>
        </w:rPr>
      </w:pPr>
      <w:r>
        <w:rPr>
          <w:rFonts w:ascii="Montserrat;sans-serif" w:hAnsi="Montserrat;sans-serif"/>
          <w:color w:val="000000"/>
          <w:sz w:val="12"/>
        </w:rPr>
        <w:t>Delinquent Section 16(a) Reports</w:t>
      </w:r>
    </w:p>
    <w:p>
      <w:pPr>
        <w:pStyle w:val="TextBody"/>
        <w:bidi w:val="0"/>
        <w:jc w:val="left"/>
        <w:rPr/>
      </w:pPr>
      <w:r>
        <w:rPr/>
        <w:t> </w:t>
      </w:r>
    </w:p>
    <w:p>
      <w:pPr>
        <w:pStyle w:val="TextBody"/>
        <w:bidi w:val="0"/>
        <w:jc w:val="left"/>
        <w:rPr/>
      </w:pPr>
      <w:r>
        <w:rPr/>
        <w:t> </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(1)</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Based on a Schedule 13G/A filed by FMR LLC (“Fidelity”) with the SEC on February 9, 2024, in which it was reported that FMR LLC had sole voting power over 36,475,488 shares of Class A common stock and sole dispositive power over 36,476,326 shares of Class A common stock. The address for FMR LLC is 245 Summer Street, Boston, MA 02210.</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(2)</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Based on a Schedule 13G/A filed by BlackRock Inc. (“BlackRock”) with the SEC on October 2, 2025, in which it was reported that BlackRock had sole voting power over 26,345,955 shares of Class A common stock, and sole dispositive power over 27,876,671 shares of Class A common stock. The address for BlackRock is 50 Hudson Yards, New York, NY 10001.</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(3)</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Based on a Schedule 13G filed by AQR Capital Management Holdings, LLC and its wholly owned subsidiary, AQR Capital Management, LLC (together, “AQR”) with the SEC on May 15, 2026, in which it was reported that AQR had shared voting power over 14,740,803 shares of Class A common stock, and shared dispositive power over 15,155,213 shares of Class A common stock. The address for AQR is One Greenwich Plaza, Suite 130, Greenwich, CT 06830.</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(4)</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Based on a Schedule 13G filed by Vanguard Capital Management LLC (“Vanguard Capital”) with the SEC on April 30, 2026, in which it was reported that Vanguard Capital had sole voting power over 2,051,457 shares of Class A common stock and sole dispositive power over 14,131,782 shares of Class A common stock. The address for Vanguard Capital is 100 Vanguard Blvd., Malvern, PA 19355.</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(5)</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Consists of (i) 2,110 shares of Class A common stock held of record by Mr. Brandt and (ii) 4,588 shares of Class A common stock issuable to Mr. Brandt upon vesting of RSUs within 60 days of October 13, 2026.</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(6)</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Consists of (i) 43,097 shares of Class A common stock held of record by Mr. Conway and (ii) 4,588 shares of Class A common stock issuable to Mr. Conway upon vesting of RSUs within 60 days of October 13, 2026.</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(7)</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Consists of (i) 5,355,285 shares of Class A common stock held directly by BCPE Nucleon (DE) SPV, LP; (ii) 40,746 shares of Class A common stock held of record by Mr. de Groen and (iii) 4,588 shares of Class A common stock issuable to Mr. de Groen upon vesting of RSUs within 60 days of October 13, 2026. Mr. de Groen is a Partner of Bain Capital Investors, LLC, the ultimate general partner of BCPE Nucleon (DE) SPV, LP. Voting and investment decisions with respect to securities held by BCPE Nucleon (DE) SPV, LP are made by the partners of Bain Capital Investors, LLC. As a result, Mr. de Groen may be deemed to share voting and dispositive power with respect to the securities held by BCPE Nucleon (DE) SPV, LP. Mr. de Groen disclaims beneficial ownership of the securities held by BCPE Nucleon (DE) SPV, LP, except to the extent of his pecuniary interest therein.</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(8)</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Consists of (i) 41,976 shares of Class A common stock held of record by Virginia Gambale TTEE Virginia Gambale REV Trust DTD 5/22/2003 for which Ms. Gambale serves as trustee and (ii) 4,588 shares of Class A common stock issuable to Ms. Gambale upon vesting of RSUs within 60 days of October 13, 2026.</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(9)</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Consists of (i) 6,696 shares of Class A common stock held of record by The Steven and Chris Gomo Trust for which Mr. Gomo serves as trustee, and (ii) 51,200 shares of Class A common stock held of record by The Chris Gomo Legacy Trust, for which Mr. Gomo serves as trustee and (iii) 4,588 shares of Class A common stock issuable to Mr. Gomo upon vesting of RSUs within 60 days of October 13, 2026.</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(10)</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Consists of (i) 843 shares of Class A common stock held of record by Dr. Lavender and (ii) 4,588 shares of Class A common stock issuable to Dr. Lavender upon vesting of RSUs within 60 days of October 13, 2026.</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(11)</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Consists of (i) 18,900 shares of Class A common stock held of record by Ms. Sheppard and (ii) 4,588 shares of Class A common stock issuable to Ms. Sheppard upon vesting of RSUs within 60 days of October 13, 2026.</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(12)</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Consists of (i) 25,123 shares of Class A common stock held of record by Mr. Templeton and (ii) 4,588 shares of Class A common stock issuable to Mr. Templeton upon vesting of RSUs within 60 days of October 13, 2026.</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(13)</w:t>
      </w:r>
    </w:p>
    <w:p>
      <w:pPr>
        <w:pStyle w:val="TextBody"/>
        <w:bidi w:val="0"/>
        <w:spacing w:before="120" w:after="283"/>
        <w:jc w:val="both"/>
        <w:rPr>
          <w:rFonts w:ascii="Montserrat;sans-serif" w:hAnsi="Montserrat;sans-serif"/>
          <w:color w:val="000000"/>
          <w:sz w:val="16"/>
        </w:rPr>
      </w:pPr>
      <w:r>
        <w:rPr>
          <w:rFonts w:ascii="Montserrat;sans-serif" w:hAnsi="Montserrat;sans-serif"/>
          <w:color w:val="000000"/>
          <w:sz w:val="16"/>
        </w:rPr>
        <w:t>Consists of (i) 766,482 shares of Class A common stock beneficially owned by our current directors and executive officers as a group, (ii) 36,704 shares of Class A common stock issuable to our current non-employee directors within 60 days of October 13, 2026 and (iii) 5,355,285 shares of Class A common stock held directly by BCPE Nucleon (DE) SPV, LP.</w:t>
      </w:r>
    </w:p>
    <w:p>
      <w:pPr>
        <w:pStyle w:val="Heading2"/>
        <w:bidi w:val="0"/>
        <w:spacing w:before="360" w:after="283"/>
        <w:jc w:val="left"/>
        <w:rPr>
          <w:rFonts w:ascii="Montserrat;Montserrat Medium;sans-serif" w:hAnsi="Montserrat;Montserrat Medium;sans-serif"/>
          <w:b/>
          <w:color w:val="7855FA"/>
          <w:sz w:val="28"/>
        </w:rPr>
      </w:pPr>
      <w:bookmarkStart w:id="29" w:name="delinquent_section_16a_reports"/>
      <w:bookmarkEnd w:id="29"/>
      <w:r>
        <w:rPr>
          <w:rFonts w:ascii="Montserrat;Montserrat Medium;sans-serif" w:hAnsi="Montserrat;Montserrat Medium;sans-serif"/>
          <w:b/>
          <w:color w:val="7855FA"/>
          <w:sz w:val="28"/>
        </w:rPr>
        <w:t>Delinquent Section 16(a) Reports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Section 16(a) of the Exchange Act requires our directors and executive officers, and persons who own more than 10% of a registered class of Nutanix’s equity securities, to file with the SEC initial reports of ownership and reports of changes in ownership of common stock and other equity securities of Nutanix.</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To our knowledge, based solely on a review of the copies of such reports furnished to us and written representations that no other reports were required, during the fiscal year ended July 31, 2026, all Section 16(a) filing requirements applicable to our officers, directors, and greater than 10% beneficial owners were complied with.</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301"/>
        <w:gridCol w:w="2671"/>
      </w:tblGrid>
      <w:tr>
        <w:trPr/>
        <w:tc>
          <w:tcPr>
            <w:tcW w:w="30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86</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238"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29" descr=""/>
                          <pic:cNvPicPr>
                            <a:picLocks noChangeAspect="1" noChangeArrowheads="1"/>
                          </pic:cNvPicPr>
                        </pic:nvPicPr>
                        <pic:blipFill>
                          <a:blip r:embed="rId231"/>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pPr>
      <w:r>
        <w:rPr/>
        <w:t> </w:t>
      </w:r>
    </w:p>
    <w:p>
      <w:pPr>
        <w:pStyle w:val="TextBody"/>
        <w:bidi w:val="0"/>
        <w:spacing w:before="60" w:after="283"/>
        <w:jc w:val="right"/>
        <w:rPr/>
      </w:pPr>
      <w:r>
        <w:rPr/>
        <w:t> </w:t>
      </w:r>
    </w:p>
    <w:p>
      <w:pPr>
        <w:pStyle w:val="TextBody"/>
        <w:bidi w:val="0"/>
        <w:jc w:val="right"/>
        <w:rPr/>
      </w:pPr>
      <w:r>
        <w:rPr/>
        <w:t> </w:t>
      </w:r>
    </w:p>
    <w:p>
      <w:pPr>
        <w:pStyle w:val="TextBody"/>
        <w:bidi w:val="0"/>
        <w:jc w:val="right"/>
        <w:rPr/>
      </w:pPr>
      <w:r>
        <w:rPr/>
        <w:t> </w:t>
      </w:r>
    </w:p>
    <w:p>
      <w:pPr>
        <w:pStyle w:val="Heading1"/>
        <w:bidi w:val="0"/>
        <w:jc w:val="left"/>
        <w:rPr>
          <w:rFonts w:ascii="Montserrat;sans-serif" w:hAnsi="Montserrat;sans-serif"/>
          <w:color w:val="000000"/>
          <w:sz w:val="56"/>
        </w:rPr>
      </w:pPr>
      <w:bookmarkStart w:id="30" w:name="other_matters"/>
      <w:bookmarkEnd w:id="30"/>
      <w:r>
        <w:rPr>
          <w:rFonts w:ascii="Montserrat;sans-serif" w:hAnsi="Montserrat;sans-serif"/>
          <w:color w:val="000000"/>
          <w:sz w:val="56"/>
        </w:rPr>
        <w:t>Other Matters</w:t>
      </w:r>
    </w:p>
    <w:p>
      <w:pPr>
        <w:pStyle w:val="TextBody"/>
        <w:bidi w:val="0"/>
        <w:spacing w:before="480" w:after="283"/>
        <w:jc w:val="both"/>
        <w:rPr>
          <w:rFonts w:ascii="Montserrat;sans-serif" w:hAnsi="Montserrat;sans-serif"/>
          <w:color w:val="000000"/>
          <w:sz w:val="18"/>
        </w:rPr>
      </w:pPr>
      <w:r>
        <w:rPr>
          <w:rFonts w:ascii="Montserrat;sans-serif" w:hAnsi="Montserrat;sans-serif"/>
          <w:color w:val="000000"/>
          <w:sz w:val="18"/>
        </w:rPr>
        <w:t>Our Board knows of no other matters that will be presented for consideration at the Annual Meeting. If any other matters are properly brought before the Annual Meeting, the persons named in the associated proxy intend to vote on such matters in accordance with their best judgment.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We filed our Annual Report on Form 10-K for the fiscal year ended July 31, 2026 with the SEC on September 18, 2026. It is available free of charge at the SEC’s website at www.sec.gov. Stockholders can also access this proxy statement and our Annual Report at http://ir.nutanix.com, or a copy of our Annual Report is available without charge upon written request to our Secretary at 1740 Technology Drive, Suite 150, San Jose, California 95110.</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2641"/>
        <w:gridCol w:w="331"/>
      </w:tblGrid>
      <w:tr>
        <w:trPr/>
        <w:tc>
          <w:tcPr>
            <w:tcW w:w="26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239"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30" descr=""/>
                          <pic:cNvPicPr>
                            <a:picLocks noChangeAspect="1" noChangeArrowheads="1"/>
                          </pic:cNvPicPr>
                        </pic:nvPicPr>
                        <pic:blipFill>
                          <a:blip r:embed="rId232"/>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3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87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pPr>
      <w:r>
        <w:rPr/>
        <w:t> </w:t>
      </w:r>
    </w:p>
    <w:p>
      <w:pPr>
        <w:pStyle w:val="TextBody"/>
        <w:bidi w:val="0"/>
        <w:spacing w:before="60" w:after="283"/>
        <w:jc w:val="left"/>
        <w:rPr/>
      </w:pPr>
      <w:r>
        <w:rPr/>
        <w:t> </w:t>
      </w:r>
    </w:p>
    <w:p>
      <w:pPr>
        <w:pStyle w:val="TextBody"/>
        <w:bidi w:val="0"/>
        <w:jc w:val="left"/>
        <w:rPr/>
      </w:pPr>
      <w:r>
        <w:rPr/>
        <w:t> </w:t>
      </w:r>
    </w:p>
    <w:p>
      <w:pPr>
        <w:pStyle w:val="TextBody"/>
        <w:bidi w:val="0"/>
        <w:jc w:val="left"/>
        <w:rPr/>
      </w:pPr>
      <w:r>
        <w:rPr/>
        <w:t> </w:t>
      </w:r>
    </w:p>
    <w:p>
      <w:pPr>
        <w:pStyle w:val="Heading1"/>
        <w:bidi w:val="0"/>
        <w:jc w:val="left"/>
        <w:rPr>
          <w:rFonts w:ascii="Montserrat;sans-serif" w:hAnsi="Montserrat;sans-serif"/>
          <w:color w:val="000000"/>
          <w:sz w:val="56"/>
        </w:rPr>
      </w:pPr>
      <w:bookmarkStart w:id="31" w:name="questions_and_answers_about_the_annual"/>
      <w:bookmarkEnd w:id="31"/>
      <w:r>
        <w:rPr>
          <w:rFonts w:ascii="Montserrat;sans-serif" w:hAnsi="Montserrat;sans-serif"/>
          <w:color w:val="000000"/>
          <w:sz w:val="56"/>
        </w:rPr>
        <w:t>Questions and Answers about the Annual Meeting</w:t>
      </w:r>
    </w:p>
    <w:p>
      <w:pPr>
        <w:pStyle w:val="TextBody"/>
        <w:bidi w:val="0"/>
        <w:spacing w:before="480" w:after="283"/>
        <w:jc w:val="left"/>
        <w:rPr>
          <w:rFonts w:ascii="Montserrat;sans-serif" w:hAnsi="Montserrat;sans-serif"/>
          <w:b/>
          <w:color w:val="000000"/>
          <w:sz w:val="22"/>
        </w:rPr>
      </w:pPr>
      <w:r>
        <w:rPr>
          <w:rFonts w:ascii="Montserrat;sans-serif" w:hAnsi="Montserrat;sans-serif"/>
          <w:b/>
          <w:color w:val="000000"/>
          <w:sz w:val="22"/>
        </w:rPr>
        <w:t>Why did I receive a notice regarding the availability of proxy materials on the Internet?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We have elected to provide access to our proxy materials over the Internet. Accordingly, we have sent you a Notice of Internet Availability of Proxy Materials containing instructions on how to access our proxy materials because our Board is soliciting your proxy to vote at the Annual Meeting. All stockholders will have the ability to access the proxy materials on the website referred to in the Notice or to request a printed set of the proxy materials. Instructions on how to access the proxy materials over the Internet or to request a printed copy may be found in the Notice.</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We mailed the Notice on or about October 20, 2026 to all stockholders of record entitled to vote at the Annual Meeting.</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How do I attend and participate in the Annual Meeting online?</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 xml:space="preserve">We will be hosting the Annual Meeting via live webcast only. Any stockholder can attend the Annual Meeting, live online at </w:t>
      </w:r>
      <w:r>
        <w:rPr>
          <w:rFonts w:ascii="Montserrat;sans-serif" w:hAnsi="Montserrat;sans-serif"/>
          <w:color w:val="7855FA"/>
          <w:sz w:val="18"/>
        </w:rPr>
        <w:t>www.virtualshareholdermeeting.com/NTNX2026</w:t>
      </w:r>
      <w:r>
        <w:rPr>
          <w:rFonts w:ascii="Montserrat;sans-serif" w:hAnsi="Montserrat;sans-serif"/>
          <w:color w:val="000000"/>
          <w:sz w:val="18"/>
        </w:rPr>
        <w:t xml:space="preserve">. The webcast will start at 9:00 a.m., Pacific Time. Stockholders may vote and submit questions while attending the meeting online. The webcast will open 15 minutes before the start of the meeting. In order to enter the meeting, you will need the control number. The control number will be included in the Notice or on your proxy card if you are a stockholder of record of shares of Class A common stock or included with your voting instructions received from your broker, bank, or other agent if you hold your shares of Class A common stock in a “street name.” Instructions on how to attend and participate online are available at </w:t>
      </w:r>
      <w:r>
        <w:rPr>
          <w:rFonts w:ascii="Montserrat;sans-serif" w:hAnsi="Montserrat;sans-serif"/>
          <w:color w:val="7855FA"/>
          <w:sz w:val="18"/>
        </w:rPr>
        <w:t>www.virtualshareholdermeeting.com/NTNX2026</w:t>
      </w:r>
      <w:r>
        <w:rPr>
          <w:rFonts w:ascii="Montserrat;sans-serif" w:hAnsi="Montserrat;sans-serif"/>
          <w:color w:val="000000"/>
          <w:sz w:val="18"/>
        </w:rPr>
        <w:t>.</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Who can vote at the Annual Meeting?</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Only stockholders of record at the close of business on October 13, 2026, the record date for the Annual Meeting, will be entitled to vote at the Annual Meeting. As of the close of business on the record date, there were 272,732,283 shares of Class A common stock outstanding and entitled to vote.</w:t>
      </w:r>
    </w:p>
    <w:p>
      <w:pPr>
        <w:pStyle w:val="TextBody"/>
        <w:bidi w:val="0"/>
        <w:spacing w:before="120" w:after="283"/>
        <w:jc w:val="left"/>
        <w:rPr>
          <w:rFonts w:ascii="Montserrat;Montserrat Medium;sans-serif" w:hAnsi="Montserrat;Montserrat Medium;sans-serif"/>
          <w:b/>
          <w:color w:val="7855FA"/>
          <w:sz w:val="18"/>
        </w:rPr>
      </w:pPr>
      <w:r>
        <w:rPr>
          <w:rFonts w:ascii="Montserrat;Montserrat Medium;sans-serif" w:hAnsi="Montserrat;Montserrat Medium;sans-serif"/>
          <w:b/>
          <w:color w:val="7855FA"/>
          <w:sz w:val="18"/>
        </w:rPr>
        <w:t>Stockholder of Record: Shares Registered in Your Name</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If, as of the close of business on the record date, your shares of Class A common stock were registered directly in your name with our transfer agent, Computershare Trust Company, N.A., then you are a stockholder of record. As a stockholder of record, you may vote online during the meeting or vote by proxy. Whether or not you plan to attend the Annual Meeting, we urge you to vote by proxy to ensure your vote is counted.</w:t>
      </w:r>
    </w:p>
    <w:p>
      <w:pPr>
        <w:pStyle w:val="TextBody"/>
        <w:bidi w:val="0"/>
        <w:spacing w:before="120" w:after="283"/>
        <w:jc w:val="left"/>
        <w:rPr>
          <w:rFonts w:ascii="Montserrat;Montserrat Medium;sans-serif" w:hAnsi="Montserrat;Montserrat Medium;sans-serif"/>
          <w:b/>
          <w:color w:val="7855FA"/>
          <w:sz w:val="18"/>
        </w:rPr>
      </w:pPr>
      <w:r>
        <w:rPr>
          <w:rFonts w:ascii="Montserrat;Montserrat Medium;sans-serif" w:hAnsi="Montserrat;Montserrat Medium;sans-serif"/>
          <w:b/>
          <w:color w:val="7855FA"/>
          <w:sz w:val="18"/>
        </w:rPr>
        <w:t>Beneficial Owner: Shares Registered in the Name of a Broker or Bank</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If, as of the close of business on the record date, your shares of Class A common stock were held, not in your name, but rather in an account at a brokerage firm, bank, dealer, or other similar organization, then you are the beneficial owner of shares held in “street name” and the Notice will be forwarded to you by that organization. The organization holding your account is considered to be the stockholder of record for purposes of voting at the Annual Meeting. As a beneficial owner, you have the right to direct your broker or other agent regarding how to vote the shares in your account. You are also invited to attend the virtual Annual Meeting. Since you are not the stockholder of record, you may vote your shares online during the Annual Meeting only by following the instructions from your broker, bank, or other agent.</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301"/>
        <w:gridCol w:w="2671"/>
      </w:tblGrid>
      <w:tr>
        <w:trPr/>
        <w:tc>
          <w:tcPr>
            <w:tcW w:w="30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88</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240"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31" descr=""/>
                          <pic:cNvPicPr>
                            <a:picLocks noChangeAspect="1" noChangeArrowheads="1"/>
                          </pic:cNvPicPr>
                        </pic:nvPicPr>
                        <pic:blipFill>
                          <a:blip r:embed="rId233"/>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rFonts w:ascii="Montserrat;sans-serif" w:hAnsi="Montserrat;sans-serif"/>
          <w:color w:val="000000"/>
          <w:sz w:val="13"/>
        </w:rPr>
      </w:pPr>
      <w:r>
        <w:rPr>
          <w:rFonts w:ascii="Montserrat;sans-serif" w:hAnsi="Montserrat;sans-serif"/>
          <w:color w:val="000000"/>
          <w:sz w:val="13"/>
        </w:rPr>
        <w:t>Questions and Answers about the Annual Meeting</w:t>
      </w:r>
    </w:p>
    <w:p>
      <w:pPr>
        <w:pStyle w:val="TextBody"/>
        <w:bidi w:val="0"/>
        <w:spacing w:before="60" w:after="283"/>
        <w:jc w:val="right"/>
        <w:rPr/>
      </w:pPr>
      <w:r>
        <w:rPr/>
        <w:t> </w:t>
      </w:r>
    </w:p>
    <w:p>
      <w:pPr>
        <w:pStyle w:val="TextBody"/>
        <w:bidi w:val="0"/>
        <w:jc w:val="right"/>
        <w:rPr/>
      </w:pPr>
      <w:r>
        <w:rPr/>
        <w:t> </w:t>
      </w:r>
    </w:p>
    <w:p>
      <w:pPr>
        <w:pStyle w:val="TextBody"/>
        <w:bidi w:val="0"/>
        <w:jc w:val="right"/>
        <w:rPr/>
      </w:pPr>
      <w:r>
        <w:rPr/>
        <w:t> </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What matters am I voting on?</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There are four matters scheduled for a vote:</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election of eight directors to hold office until the annual meeting of stockholders to take place after the end of the fiscal year ending July 31, 2027;</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ratification of the selection of Deloitte &amp; Touche LLP as our independent registered public accounting firm for the fiscal year ending July 31, 2027;</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approval, on a non-binding advisory basis, of the compensation of our NEOs; and</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approval of an amendment to our Amended and Restated 2016 Equity Incentive Plan to increase the share reserve.</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How do I vote?</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procedures for voting are as follows:</w:t>
      </w:r>
    </w:p>
    <w:p>
      <w:pPr>
        <w:pStyle w:val="TextBody"/>
        <w:bidi w:val="0"/>
        <w:spacing w:before="120" w:after="283"/>
        <w:jc w:val="left"/>
        <w:rPr>
          <w:rFonts w:ascii="Montserrat;Montserrat Medium;sans-serif" w:hAnsi="Montserrat;Montserrat Medium;sans-serif"/>
          <w:b/>
          <w:color w:val="7855FA"/>
          <w:sz w:val="18"/>
        </w:rPr>
      </w:pPr>
      <w:r>
        <w:rPr>
          <w:rFonts w:ascii="Montserrat;Montserrat Medium;sans-serif" w:hAnsi="Montserrat;Montserrat Medium;sans-serif"/>
          <w:b/>
          <w:color w:val="7855FA"/>
          <w:sz w:val="18"/>
        </w:rPr>
        <w:t>Stockholder of Record: Shares Registered in Your Name</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If you are a stockholder of record, you may vote online during the Annual Meeting, vote by proxy through the Internet, vote by proxy over the telephone, or vote by proxy using a proxy card that you may request. Whether or not you plan to attend the Annual Meeting, we urge you to vote by proxy to ensure your vote is counted. Even if you have submitted a proxy before the Annual Meeting, you may still attend online and vote during the meeting, in which case your previously submitted proxy will be disregarded.</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 xml:space="preserve">To vote online during the Annual Meeting, follow the provided instructions to join the meeting at </w:t>
      </w:r>
      <w:r>
        <w:rPr>
          <w:rFonts w:ascii="Montserrat;sans-serif" w:hAnsi="Montserrat;sans-serif"/>
          <w:color w:val="7855FA"/>
          <w:sz w:val="18"/>
        </w:rPr>
        <w:t>www.virtualshareholdermeeting.com/NTNX2026</w:t>
      </w:r>
      <w:r>
        <w:rPr>
          <w:rFonts w:ascii="Montserrat;sans-serif" w:hAnsi="Montserrat;sans-serif"/>
          <w:color w:val="000000"/>
          <w:sz w:val="18"/>
        </w:rPr>
        <w:t>, starting at 9:00 a.m., Pacific Time, on December 11, 2026.</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 xml:space="preserve">To vote online before the Annual Meeting, go to </w:t>
      </w:r>
      <w:r>
        <w:rPr>
          <w:rFonts w:ascii="Montserrat;sans-serif" w:hAnsi="Montserrat;sans-serif"/>
          <w:color w:val="7855FA"/>
          <w:sz w:val="18"/>
        </w:rPr>
        <w:t>www.proxyvote.com</w:t>
      </w:r>
      <w:r>
        <w:rPr>
          <w:rFonts w:ascii="Montserrat;sans-serif" w:hAnsi="Montserrat;sans-serif"/>
          <w:color w:val="000000"/>
          <w:sz w:val="18"/>
        </w:rPr>
        <w:t>.</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To vote by toll-free telephone, call 1-800-690-6903 if you are a stockholder of record or 1-800-454-8683 if you are a “beneficial” stockholder (be sure to have your Notice or proxy card in hand when you call).</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To vote by mail, simply complete, sign, and date the proxy card or voting instruction card, and return it promptly in the envelope provided.</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If we receive your vote by Internet or phone or your signed proxy card up until 11:59 p.m., Eastern Time, the day before the Annual Meeting, we will vote your shares as you direct.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To vote, you will need the control number. The control number will be included in the Notice, or on your proxy card if you are a stockholder of record of shares of Class A common stock, or included with your voting instructions received from your broker, bank, or other agent if you hold your shares of Class A common stock in “street name.”</w:t>
      </w:r>
    </w:p>
    <w:p>
      <w:pPr>
        <w:pStyle w:val="TextBody"/>
        <w:bidi w:val="0"/>
        <w:spacing w:before="120" w:after="283"/>
        <w:jc w:val="left"/>
        <w:rPr>
          <w:rFonts w:ascii="Montserrat;Montserrat Medium;sans-serif" w:hAnsi="Montserrat;Montserrat Medium;sans-serif"/>
          <w:b/>
          <w:color w:val="7855FA"/>
          <w:sz w:val="18"/>
        </w:rPr>
      </w:pPr>
      <w:r>
        <w:rPr>
          <w:rFonts w:ascii="Montserrat;Montserrat Medium;sans-serif" w:hAnsi="Montserrat;Montserrat Medium;sans-serif"/>
          <w:b/>
          <w:color w:val="7855FA"/>
          <w:sz w:val="18"/>
        </w:rPr>
        <w:t>Beneficial Owner: Shares Registered in the Name of Broker or Bank</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If you are a beneficial owner of shares registered in the name of your broker, bank, or other agent, you should have received a notice containing voting instructions from that organization rather than from us. Simply follow the voting instructions in such notice to ensure that your vote is counted. To vote online during the meeting, you must follow the instructions from your broker, bank, or other agent.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Internet proxy voting is provided to allow you to vote your shares online, with procedures designed to ensure the authenticity and correctness of your proxy vote instructions. Please be aware that you must bear any costs associated with your Internet access.</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Can I change my vote?</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Yes. Subject to the voting deadlines above, if you are a stockholder of record, you may revoke your proxy at any time before the close of voting using one of the following methods:</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You may submit another properly completed proxy card with a later date.</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You may grant a subsequent proxy by telephone or through the Internet.</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You may send a written notice that you are revoking your proxy to our Secretary at 1740 Technology Drive, Suite 150, San Jose, California 95110.</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2641"/>
        <w:gridCol w:w="331"/>
      </w:tblGrid>
      <w:tr>
        <w:trPr/>
        <w:tc>
          <w:tcPr>
            <w:tcW w:w="26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241"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232" descr=""/>
                          <pic:cNvPicPr>
                            <a:picLocks noChangeAspect="1" noChangeArrowheads="1"/>
                          </pic:cNvPicPr>
                        </pic:nvPicPr>
                        <pic:blipFill>
                          <a:blip r:embed="rId234"/>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3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89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rFonts w:ascii="Montserrat;sans-serif" w:hAnsi="Montserrat;sans-serif"/>
          <w:color w:val="000000"/>
          <w:sz w:val="13"/>
        </w:rPr>
      </w:pPr>
      <w:r>
        <w:rPr>
          <w:rFonts w:ascii="Montserrat;sans-serif" w:hAnsi="Montserrat;sans-serif"/>
          <w:color w:val="000000"/>
          <w:sz w:val="13"/>
        </w:rPr>
        <w:t>Questions and Answers about the Annual Meeting</w:t>
      </w:r>
    </w:p>
    <w:p>
      <w:pPr>
        <w:pStyle w:val="TextBody"/>
        <w:bidi w:val="0"/>
        <w:spacing w:before="60" w:after="283"/>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You may attend and vote online during the Annual Meeting. Simply attending the Annual Meeting will not, by itself, revoke your proxy.</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If your shares are held by your broker or bank as a nominee or agent, you should follow the instructions provided by such party.</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What happens if I do not vote?</w:t>
      </w:r>
    </w:p>
    <w:p>
      <w:pPr>
        <w:pStyle w:val="TextBody"/>
        <w:bidi w:val="0"/>
        <w:spacing w:before="120" w:after="283"/>
        <w:jc w:val="left"/>
        <w:rPr>
          <w:rFonts w:ascii="Montserrat;Montserrat Medium;sans-serif" w:hAnsi="Montserrat;Montserrat Medium;sans-serif"/>
          <w:b/>
          <w:color w:val="7855FA"/>
          <w:sz w:val="18"/>
        </w:rPr>
      </w:pPr>
      <w:r>
        <w:rPr>
          <w:rFonts w:ascii="Montserrat;Montserrat Medium;sans-serif" w:hAnsi="Montserrat;Montserrat Medium;sans-serif"/>
          <w:b/>
          <w:color w:val="7855FA"/>
          <w:sz w:val="18"/>
        </w:rPr>
        <w:t>Stockholder of Record: Shares Registered in Your Name</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If you are a stockholder of record and do not vote during the Annual Meeting, or through the Internet, by telephone, or by completing your proxy card before the Annual Meeting, your shares will not be voted.</w:t>
      </w:r>
    </w:p>
    <w:p>
      <w:pPr>
        <w:pStyle w:val="TextBody"/>
        <w:bidi w:val="0"/>
        <w:spacing w:before="120" w:after="283"/>
        <w:jc w:val="left"/>
        <w:rPr>
          <w:rFonts w:ascii="Montserrat;Montserrat Medium;sans-serif" w:hAnsi="Montserrat;Montserrat Medium;sans-serif"/>
          <w:b/>
          <w:color w:val="7855FA"/>
          <w:sz w:val="18"/>
        </w:rPr>
      </w:pPr>
      <w:r>
        <w:rPr>
          <w:rFonts w:ascii="Montserrat;Montserrat Medium;sans-serif" w:hAnsi="Montserrat;Montserrat Medium;sans-serif"/>
          <w:b/>
          <w:color w:val="7855FA"/>
          <w:sz w:val="18"/>
        </w:rPr>
        <w:t>Beneficial Owner: Shares Registered in the Name of a Broker or Bank</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Broker non-votes occur when (i) a broker or other nominee holds shares for a beneficial owner, (ii) the beneficial owner has not given the respective broker specific voting instructions, (iii) the matter is non-routine in nature, and (iv) there is at least one routine proposal presented at the applicable meeting of stockholders (such as Proposal 2 at the Annual Meeting). Under applicable rules, a broker or other nominee has discretionary voting power only with respect to proposals that are considered “routine,” but not with respect to “non-routine” proposals. Broker non-votes are considered present for purposes of determining the presence of a quorum so long as the shares represented by a broker or other nominee who holds shares for a beneficial owner, where the beneficial owner has not given the respective broker or other nominee specific voting instructions, can be voted for, against, or in abstention for at least one proposal presented at the Annual Meeting. Since there is one routine proposal presented at the Annual Meeting (Proposal 2) on which brokers and other nominees have such discretionary voting power, broker non-votes will be counted for quorum purposes at the Annual Meeting. Broker non-votes will not be counted for purposes of determining the number of votes cast or considered entitled to vote, as applicable, on a proposal. Therefore, a broker non-vote will make a quorum more readily attainable but will not otherwise affect the outcome of the vote on any of the proposals.</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 xml:space="preserve">Abstentions represent a stockholder’s affirmative choice to decline to vote on a proposal, and occur when shares present at the meeting are marked </w:t>
      </w:r>
      <w:r>
        <w:rPr>
          <w:rFonts w:ascii="Montserrat;sans-serif" w:hAnsi="Montserrat;sans-serif"/>
          <w:b/>
          <w:color w:val="000000"/>
          <w:sz w:val="18"/>
        </w:rPr>
        <w:t>ABSTAIN</w:t>
      </w:r>
      <w:r>
        <w:rPr>
          <w:rFonts w:ascii="Montserrat;sans-serif" w:hAnsi="Montserrat;sans-serif"/>
          <w:color w:val="000000"/>
          <w:sz w:val="18"/>
        </w:rPr>
        <w:t xml:space="preserve">. Abstentions are counted for purposes of determining whether a quorum is present but will not otherwise affect the outcome of the vote on Proposal 1. In the case of Proposals 2, 3, and 4, abstentions are also counted as votes </w:t>
      </w:r>
      <w:r>
        <w:rPr>
          <w:rFonts w:ascii="Montserrat;sans-serif" w:hAnsi="Montserrat;sans-serif"/>
          <w:b/>
          <w:color w:val="000000"/>
          <w:sz w:val="18"/>
        </w:rPr>
        <w:t xml:space="preserve">AGAINST </w:t>
      </w:r>
      <w:r>
        <w:rPr>
          <w:rFonts w:ascii="Montserrat;sans-serif" w:hAnsi="Montserrat;sans-serif"/>
          <w:color w:val="000000"/>
          <w:sz w:val="18"/>
        </w:rPr>
        <w:t>the proposal.</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 xml:space="preserve">Proposals 1, 3, and 4 are non-routine matters, so your broker or nominee may not vote your shares on Proposals 1, 3, and 4 without your instructions. Proposal 2, the ratification of Deloitte &amp; Touche LLP as our independent registered public accounting firm for the fiscal year ending July 31, 2027, is a routine matter, so your broker or nominee may vote your shares on Proposal 2 even in the absence of your instruction. </w:t>
      </w:r>
      <w:r>
        <w:rPr>
          <w:rFonts w:ascii="Montserrat;sans-serif" w:hAnsi="Montserrat;sans-serif"/>
          <w:b/>
          <w:color w:val="000000"/>
          <w:sz w:val="18"/>
        </w:rPr>
        <w:t>Please instruct your bank, broker, or other agent to ensure that your vote will be counted.</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What if I return a proxy card or otherwise vote but do not make specific choices?</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 xml:space="preserve">If you return a signed and dated proxy card or otherwise vote but do not make specific choices, your shares will be voted </w:t>
      </w:r>
      <w:r>
        <w:rPr>
          <w:rFonts w:ascii="Montserrat;sans-serif" w:hAnsi="Montserrat;sans-serif"/>
          <w:b/>
          <w:color w:val="000000"/>
          <w:sz w:val="18"/>
        </w:rPr>
        <w:t xml:space="preserve">FOR </w:t>
      </w:r>
      <w:r>
        <w:rPr>
          <w:rFonts w:ascii="Montserrat;sans-serif" w:hAnsi="Montserrat;sans-serif"/>
          <w:color w:val="000000"/>
          <w:sz w:val="18"/>
        </w:rPr>
        <w:t xml:space="preserve">the election of all directors, </w:t>
      </w:r>
      <w:r>
        <w:rPr>
          <w:rFonts w:ascii="Montserrat;sans-serif" w:hAnsi="Montserrat;sans-serif"/>
          <w:b/>
          <w:color w:val="000000"/>
          <w:sz w:val="18"/>
        </w:rPr>
        <w:t xml:space="preserve">FOR </w:t>
      </w:r>
      <w:r>
        <w:rPr>
          <w:rFonts w:ascii="Montserrat;sans-serif" w:hAnsi="Montserrat;sans-serif"/>
          <w:color w:val="000000"/>
          <w:sz w:val="18"/>
        </w:rPr>
        <w:t xml:space="preserve">the ratification of the selection of Deloitte &amp; Touche LLP as our independent registered public accounting firm for the fiscal year ending July 31, 2027, </w:t>
      </w:r>
      <w:r>
        <w:rPr>
          <w:rFonts w:ascii="Montserrat;sans-serif" w:hAnsi="Montserrat;sans-serif"/>
          <w:b/>
          <w:color w:val="000000"/>
          <w:sz w:val="18"/>
        </w:rPr>
        <w:t xml:space="preserve">FOR </w:t>
      </w:r>
      <w:r>
        <w:rPr>
          <w:rFonts w:ascii="Montserrat;sans-serif" w:hAnsi="Montserrat;sans-serif"/>
          <w:color w:val="000000"/>
          <w:sz w:val="18"/>
        </w:rPr>
        <w:t xml:space="preserve">the approval of the compensation of our NEOs, and </w:t>
      </w:r>
      <w:r>
        <w:rPr>
          <w:rFonts w:ascii="Montserrat;sans-serif" w:hAnsi="Montserrat;sans-serif"/>
          <w:b/>
          <w:color w:val="000000"/>
          <w:sz w:val="18"/>
        </w:rPr>
        <w:t xml:space="preserve">FOR </w:t>
      </w:r>
      <w:r>
        <w:rPr>
          <w:rFonts w:ascii="Montserrat;sans-serif" w:hAnsi="Montserrat;sans-serif"/>
          <w:color w:val="000000"/>
          <w:sz w:val="18"/>
        </w:rPr>
        <w:t>the approval of the amendment to our Amended and Restated 2016 Equity Incentive Plan. If any other matter is properly presented at the Annual Meeting, your proxyholder (one of the individuals named on your proxy card) will vote your shares using the proxyholder’s best judgment.</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How many votes do I have?</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Each holder of Class A common stock will have the right to one vote per share of Class A common stock. Stockholders are not permitted to cumulate votes with respect to the election of directors.</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301"/>
        <w:gridCol w:w="2671"/>
      </w:tblGrid>
      <w:tr>
        <w:trPr/>
        <w:tc>
          <w:tcPr>
            <w:tcW w:w="30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90</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242"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33" descr=""/>
                          <pic:cNvPicPr>
                            <a:picLocks noChangeAspect="1" noChangeArrowheads="1"/>
                          </pic:cNvPicPr>
                        </pic:nvPicPr>
                        <pic:blipFill>
                          <a:blip r:embed="rId235"/>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rFonts w:ascii="Montserrat;sans-serif" w:hAnsi="Montserrat;sans-serif"/>
          <w:color w:val="000000"/>
          <w:sz w:val="13"/>
        </w:rPr>
      </w:pPr>
      <w:r>
        <w:rPr>
          <w:rFonts w:ascii="Montserrat;sans-serif" w:hAnsi="Montserrat;sans-serif"/>
          <w:color w:val="000000"/>
          <w:sz w:val="13"/>
        </w:rPr>
        <w:t>Questions and Answers about the Annual Meeting</w:t>
      </w:r>
    </w:p>
    <w:p>
      <w:pPr>
        <w:pStyle w:val="TextBody"/>
        <w:bidi w:val="0"/>
        <w:spacing w:before="60" w:after="283"/>
        <w:jc w:val="right"/>
        <w:rPr/>
      </w:pPr>
      <w:r>
        <w:rPr/>
        <w:t> </w:t>
      </w:r>
    </w:p>
    <w:p>
      <w:pPr>
        <w:pStyle w:val="TextBody"/>
        <w:bidi w:val="0"/>
        <w:jc w:val="right"/>
        <w:rPr/>
      </w:pPr>
      <w:r>
        <w:rPr/>
        <w:t> </w:t>
      </w:r>
    </w:p>
    <w:p>
      <w:pPr>
        <w:pStyle w:val="TextBody"/>
        <w:bidi w:val="0"/>
        <w:jc w:val="right"/>
        <w:rPr/>
      </w:pPr>
      <w:r>
        <w:rPr/>
        <w:t> </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How many votes are needed to approve each proposal and how are the votes counted?</w:t>
      </w:r>
    </w:p>
    <w:p>
      <w:pPr>
        <w:pStyle w:val="TextBody"/>
        <w:bidi w:val="0"/>
        <w:spacing w:before="120" w:after="283"/>
        <w:jc w:val="both"/>
        <w:rPr>
          <w:rFonts w:ascii="Montserrat;sans-serif" w:hAnsi="Montserrat;sans-serif"/>
          <w:sz w:val="18"/>
        </w:rPr>
      </w:pPr>
      <w:r>
        <w:rPr>
          <w:rFonts w:ascii="Montserrat;sans-serif" w:hAnsi="Montserrat;sans-serif"/>
          <w:b/>
          <w:color w:val="7855FA"/>
          <w:sz w:val="18"/>
        </w:rPr>
        <w:t>Proposal 1:</w:t>
      </w:r>
      <w:r>
        <w:rPr>
          <w:rFonts w:ascii="Montserrat;sans-serif" w:hAnsi="Montserrat;sans-serif"/>
          <w:color w:val="6C60A5"/>
          <w:sz w:val="18"/>
        </w:rPr>
        <w:t xml:space="preserve"> </w:t>
      </w:r>
      <w:r>
        <w:rPr>
          <w:rFonts w:ascii="Montserrat;sans-serif" w:hAnsi="Montserrat;sans-serif"/>
          <w:color w:val="000000"/>
          <w:sz w:val="18"/>
        </w:rPr>
        <w:t xml:space="preserve">Directors are elected by a majority of the votes cast, meaning that the number of shares voted </w:t>
      </w:r>
      <w:r>
        <w:rPr>
          <w:rFonts w:ascii="Montserrat;sans-serif" w:hAnsi="Montserrat;sans-serif"/>
          <w:b/>
          <w:color w:val="000000"/>
          <w:sz w:val="18"/>
        </w:rPr>
        <w:t xml:space="preserve">FOR </w:t>
      </w:r>
      <w:r>
        <w:rPr>
          <w:rFonts w:ascii="Montserrat;sans-serif" w:hAnsi="Montserrat;sans-serif"/>
          <w:color w:val="000000"/>
          <w:sz w:val="18"/>
        </w:rPr>
        <w:t xml:space="preserve">a director’s election exceeds the number of votes cast </w:t>
      </w:r>
      <w:r>
        <w:rPr>
          <w:rFonts w:ascii="Montserrat;sans-serif" w:hAnsi="Montserrat;sans-serif"/>
          <w:b/>
          <w:color w:val="000000"/>
          <w:sz w:val="18"/>
        </w:rPr>
        <w:t xml:space="preserve">AGAINST </w:t>
      </w:r>
      <w:r>
        <w:rPr>
          <w:rFonts w:ascii="Montserrat;sans-serif" w:hAnsi="Montserrat;sans-serif"/>
          <w:color w:val="000000"/>
          <w:sz w:val="18"/>
        </w:rPr>
        <w:t xml:space="preserve">such director’s election. You may vote </w:t>
      </w:r>
      <w:r>
        <w:rPr>
          <w:rFonts w:ascii="Montserrat;sans-serif" w:hAnsi="Montserrat;sans-serif"/>
          <w:b/>
          <w:color w:val="000000"/>
          <w:sz w:val="18"/>
        </w:rPr>
        <w:t>FOR</w:t>
      </w:r>
      <w:r>
        <w:rPr>
          <w:rFonts w:ascii="Montserrat;sans-serif" w:hAnsi="Montserrat;sans-serif"/>
          <w:color w:val="000000"/>
          <w:sz w:val="18"/>
        </w:rPr>
        <w:t xml:space="preserve">, </w:t>
      </w:r>
      <w:r>
        <w:rPr>
          <w:rFonts w:ascii="Montserrat;sans-serif" w:hAnsi="Montserrat;sans-serif"/>
          <w:b/>
          <w:color w:val="000000"/>
          <w:sz w:val="18"/>
        </w:rPr>
        <w:t>AGAINST</w:t>
      </w:r>
      <w:r>
        <w:rPr>
          <w:rFonts w:ascii="Montserrat;sans-serif" w:hAnsi="Montserrat;sans-serif"/>
          <w:color w:val="000000"/>
          <w:sz w:val="18"/>
        </w:rPr>
        <w:t xml:space="preserve">, or </w:t>
      </w:r>
      <w:r>
        <w:rPr>
          <w:rFonts w:ascii="Montserrat;sans-serif" w:hAnsi="Montserrat;sans-serif"/>
          <w:b/>
          <w:color w:val="000000"/>
          <w:sz w:val="18"/>
        </w:rPr>
        <w:t xml:space="preserve">ABSTAIN </w:t>
      </w:r>
      <w:r>
        <w:rPr>
          <w:rFonts w:ascii="Montserrat;sans-serif" w:hAnsi="Montserrat;sans-serif"/>
          <w:color w:val="000000"/>
          <w:sz w:val="18"/>
        </w:rPr>
        <w:t>on each of the nominees for election as director. Abstentions will not be counted for purposes of determining the number of votes cast with respect to the election of a director, and thus will have no effect on the outcome of the vote. Broker non-votes will have no effect on the outcome of the vote.</w:t>
      </w:r>
    </w:p>
    <w:p>
      <w:pPr>
        <w:pStyle w:val="TextBody"/>
        <w:bidi w:val="0"/>
        <w:spacing w:before="120" w:after="283"/>
        <w:jc w:val="both"/>
        <w:rPr>
          <w:rFonts w:ascii="Montserrat;sans-serif" w:hAnsi="Montserrat;sans-serif"/>
          <w:sz w:val="18"/>
        </w:rPr>
      </w:pPr>
      <w:r>
        <w:rPr>
          <w:rFonts w:ascii="Montserrat;sans-serif" w:hAnsi="Montserrat;sans-serif"/>
          <w:b/>
          <w:color w:val="7855FA"/>
          <w:sz w:val="18"/>
        </w:rPr>
        <w:t>Proposal 2:</w:t>
      </w:r>
      <w:r>
        <w:rPr>
          <w:rFonts w:ascii="Montserrat;sans-serif" w:hAnsi="Montserrat;sans-serif"/>
          <w:color w:val="6C60A5"/>
          <w:sz w:val="18"/>
        </w:rPr>
        <w:t xml:space="preserve"> </w:t>
      </w:r>
      <w:r>
        <w:rPr>
          <w:rFonts w:ascii="Montserrat;sans-serif" w:hAnsi="Montserrat;sans-serif"/>
          <w:color w:val="000000"/>
          <w:sz w:val="18"/>
        </w:rPr>
        <w:t xml:space="preserve">The ratification of the selection of our independent registered public accounting firm for the fiscal year ending July 31, 2027, must receive </w:t>
      </w:r>
      <w:r>
        <w:rPr>
          <w:rFonts w:ascii="Montserrat;sans-serif" w:hAnsi="Montserrat;sans-serif"/>
          <w:b/>
          <w:color w:val="000000"/>
          <w:sz w:val="18"/>
        </w:rPr>
        <w:t xml:space="preserve">FOR </w:t>
      </w:r>
      <w:r>
        <w:rPr>
          <w:rFonts w:ascii="Montserrat;sans-serif" w:hAnsi="Montserrat;sans-serif"/>
          <w:color w:val="000000"/>
          <w:sz w:val="18"/>
        </w:rPr>
        <w:t xml:space="preserve">votes from the holders of a majority in voting power of the shares present at the Annual Meeting or represented by proxy thereat and entitled to vote on the proposal. You may vote </w:t>
      </w:r>
      <w:r>
        <w:rPr>
          <w:rFonts w:ascii="Montserrat;sans-serif" w:hAnsi="Montserrat;sans-serif"/>
          <w:b/>
          <w:color w:val="000000"/>
          <w:sz w:val="18"/>
        </w:rPr>
        <w:t>FOR</w:t>
      </w:r>
      <w:r>
        <w:rPr>
          <w:rFonts w:ascii="Montserrat;sans-serif" w:hAnsi="Montserrat;sans-serif"/>
          <w:color w:val="000000"/>
          <w:sz w:val="18"/>
        </w:rPr>
        <w:t xml:space="preserve">, </w:t>
      </w:r>
      <w:r>
        <w:rPr>
          <w:rFonts w:ascii="Montserrat;sans-serif" w:hAnsi="Montserrat;sans-serif"/>
          <w:b/>
          <w:color w:val="000000"/>
          <w:sz w:val="18"/>
        </w:rPr>
        <w:t>AGAINST</w:t>
      </w:r>
      <w:r>
        <w:rPr>
          <w:rFonts w:ascii="Montserrat;sans-serif" w:hAnsi="Montserrat;sans-serif"/>
          <w:color w:val="000000"/>
          <w:sz w:val="18"/>
        </w:rPr>
        <w:t xml:space="preserve">, or </w:t>
      </w:r>
      <w:r>
        <w:rPr>
          <w:rFonts w:ascii="Montserrat;sans-serif" w:hAnsi="Montserrat;sans-serif"/>
          <w:b/>
          <w:color w:val="000000"/>
          <w:sz w:val="18"/>
        </w:rPr>
        <w:t xml:space="preserve">ABSTAIN </w:t>
      </w:r>
      <w:r>
        <w:rPr>
          <w:rFonts w:ascii="Montserrat;sans-serif" w:hAnsi="Montserrat;sans-serif"/>
          <w:color w:val="000000"/>
          <w:sz w:val="18"/>
        </w:rPr>
        <w:t xml:space="preserve">with respect to this proposal. Abstentions are considered votes present and entitled to vote on this proposal, and thus will have the same effect as a vote </w:t>
      </w:r>
      <w:r>
        <w:rPr>
          <w:rFonts w:ascii="Montserrat;sans-serif" w:hAnsi="Montserrat;sans-serif"/>
          <w:b/>
          <w:color w:val="000000"/>
          <w:sz w:val="18"/>
        </w:rPr>
        <w:t xml:space="preserve">AGAINST </w:t>
      </w:r>
      <w:r>
        <w:rPr>
          <w:rFonts w:ascii="Montserrat;sans-serif" w:hAnsi="Montserrat;sans-serif"/>
          <w:color w:val="000000"/>
          <w:sz w:val="18"/>
        </w:rPr>
        <w:t>the proposal. Because this is a routine proposal, we do not expect any broker non-votes.</w:t>
      </w:r>
    </w:p>
    <w:p>
      <w:pPr>
        <w:pStyle w:val="TextBody"/>
        <w:bidi w:val="0"/>
        <w:spacing w:before="120" w:after="283"/>
        <w:jc w:val="both"/>
        <w:rPr>
          <w:rFonts w:ascii="Montserrat;sans-serif" w:hAnsi="Montserrat;sans-serif"/>
          <w:sz w:val="18"/>
        </w:rPr>
      </w:pPr>
      <w:r>
        <w:rPr>
          <w:rFonts w:ascii="Montserrat;sans-serif" w:hAnsi="Montserrat;sans-serif"/>
          <w:b/>
          <w:color w:val="7855FA"/>
          <w:sz w:val="18"/>
        </w:rPr>
        <w:t>Proposal 3:</w:t>
      </w:r>
      <w:r>
        <w:rPr>
          <w:rFonts w:ascii="Montserrat;sans-serif" w:hAnsi="Montserrat;sans-serif"/>
          <w:color w:val="6C60A5"/>
          <w:sz w:val="18"/>
        </w:rPr>
        <w:t xml:space="preserve"> </w:t>
      </w:r>
      <w:r>
        <w:rPr>
          <w:rFonts w:ascii="Montserrat;sans-serif" w:hAnsi="Montserrat;sans-serif"/>
          <w:color w:val="000000"/>
          <w:sz w:val="18"/>
        </w:rPr>
        <w:t xml:space="preserve">The approval, on an advisory basis, of the compensation of our NEOs must receive </w:t>
      </w:r>
      <w:r>
        <w:rPr>
          <w:rFonts w:ascii="Montserrat;sans-serif" w:hAnsi="Montserrat;sans-serif"/>
          <w:b/>
          <w:color w:val="000000"/>
          <w:sz w:val="18"/>
        </w:rPr>
        <w:t xml:space="preserve">FOR </w:t>
      </w:r>
      <w:r>
        <w:rPr>
          <w:rFonts w:ascii="Montserrat;sans-serif" w:hAnsi="Montserrat;sans-serif"/>
          <w:color w:val="000000"/>
          <w:sz w:val="18"/>
        </w:rPr>
        <w:t xml:space="preserve">votes from the holders of a majority of the voting power of the shares present at the Annual Meeting or represented by proxy thereat and entitled to vote on the proposal. You may vote </w:t>
      </w:r>
      <w:r>
        <w:rPr>
          <w:rFonts w:ascii="Montserrat;sans-serif" w:hAnsi="Montserrat;sans-serif"/>
          <w:b/>
          <w:color w:val="000000"/>
          <w:sz w:val="18"/>
        </w:rPr>
        <w:t>FOR</w:t>
      </w:r>
      <w:r>
        <w:rPr>
          <w:rFonts w:ascii="Montserrat;sans-serif" w:hAnsi="Montserrat;sans-serif"/>
          <w:color w:val="000000"/>
          <w:sz w:val="18"/>
        </w:rPr>
        <w:t xml:space="preserve">, </w:t>
      </w:r>
      <w:r>
        <w:rPr>
          <w:rFonts w:ascii="Montserrat;sans-serif" w:hAnsi="Montserrat;sans-serif"/>
          <w:b/>
          <w:color w:val="000000"/>
          <w:sz w:val="18"/>
        </w:rPr>
        <w:t>AGAINST</w:t>
      </w:r>
      <w:r>
        <w:rPr>
          <w:rFonts w:ascii="Montserrat;sans-serif" w:hAnsi="Montserrat;sans-serif"/>
          <w:color w:val="000000"/>
          <w:sz w:val="18"/>
        </w:rPr>
        <w:t xml:space="preserve">, or </w:t>
      </w:r>
      <w:r>
        <w:rPr>
          <w:rFonts w:ascii="Montserrat;sans-serif" w:hAnsi="Montserrat;sans-serif"/>
          <w:b/>
          <w:color w:val="000000"/>
          <w:sz w:val="18"/>
        </w:rPr>
        <w:t xml:space="preserve">ABSTAIN </w:t>
      </w:r>
      <w:r>
        <w:rPr>
          <w:rFonts w:ascii="Montserrat;sans-serif" w:hAnsi="Montserrat;sans-serif"/>
          <w:color w:val="000000"/>
          <w:sz w:val="18"/>
        </w:rPr>
        <w:t>with respect to this proposal. Abstentions are considered votes present and entitled to vote on this proposal, and thus will have the same effect as votes AGAINST this proposal. Broker non-votes will have no effect on the outcome of this proposal. Although the advisory vote is non-binding, our Board values stockholders’ opinions. The Compensation Committee will review the results of the vote and, consistent with our record of stockholder responsiveness, consider stockholders’ concerns and take into account the outcome of the vote when considering future decisions concerning our executive compensation program.</w:t>
      </w:r>
    </w:p>
    <w:p>
      <w:pPr>
        <w:pStyle w:val="TextBody"/>
        <w:bidi w:val="0"/>
        <w:spacing w:before="120" w:after="283"/>
        <w:jc w:val="both"/>
        <w:rPr>
          <w:rFonts w:ascii="Montserrat;sans-serif" w:hAnsi="Montserrat;sans-serif"/>
          <w:sz w:val="18"/>
        </w:rPr>
      </w:pPr>
      <w:r>
        <w:rPr>
          <w:rFonts w:ascii="Montserrat;sans-serif" w:hAnsi="Montserrat;sans-serif"/>
          <w:b/>
          <w:color w:val="7855FA"/>
          <w:sz w:val="18"/>
        </w:rPr>
        <w:t>Proposal 4:</w:t>
      </w:r>
      <w:r>
        <w:rPr>
          <w:rFonts w:ascii="Montserrat;sans-serif" w:hAnsi="Montserrat;sans-serif"/>
          <w:color w:val="6C60A5"/>
          <w:sz w:val="18"/>
        </w:rPr>
        <w:t xml:space="preserve"> </w:t>
      </w:r>
      <w:r>
        <w:rPr>
          <w:rFonts w:ascii="Montserrat;sans-serif" w:hAnsi="Montserrat;sans-serif"/>
          <w:color w:val="000000"/>
          <w:sz w:val="18"/>
        </w:rPr>
        <w:t xml:space="preserve">The approval of an amendment to our Amended and Restated 2016 Equity Incentive Plan to increase the share reserve must receive </w:t>
      </w:r>
      <w:r>
        <w:rPr>
          <w:rFonts w:ascii="Montserrat;sans-serif" w:hAnsi="Montserrat;sans-serif"/>
          <w:b/>
          <w:color w:val="000000"/>
          <w:sz w:val="18"/>
        </w:rPr>
        <w:t xml:space="preserve">FOR </w:t>
      </w:r>
      <w:r>
        <w:rPr>
          <w:rFonts w:ascii="Montserrat;sans-serif" w:hAnsi="Montserrat;sans-serif"/>
          <w:color w:val="000000"/>
          <w:sz w:val="18"/>
        </w:rPr>
        <w:t xml:space="preserve">votes from the holders of a majority in voting power of the shares present at the Annual Meeting or represented by proxy thereat and entitled to vote on the proposal. You may vote </w:t>
      </w:r>
      <w:r>
        <w:rPr>
          <w:rFonts w:ascii="Montserrat;sans-serif" w:hAnsi="Montserrat;sans-serif"/>
          <w:b/>
          <w:color w:val="000000"/>
          <w:sz w:val="18"/>
        </w:rPr>
        <w:t>FOR</w:t>
      </w:r>
      <w:r>
        <w:rPr>
          <w:rFonts w:ascii="Montserrat;sans-serif" w:hAnsi="Montserrat;sans-serif"/>
          <w:color w:val="000000"/>
          <w:sz w:val="18"/>
        </w:rPr>
        <w:t xml:space="preserve">, </w:t>
      </w:r>
      <w:r>
        <w:rPr>
          <w:rFonts w:ascii="Montserrat;sans-serif" w:hAnsi="Montserrat;sans-serif"/>
          <w:b/>
          <w:color w:val="000000"/>
          <w:sz w:val="18"/>
        </w:rPr>
        <w:t>AGAINST</w:t>
      </w:r>
      <w:r>
        <w:rPr>
          <w:rFonts w:ascii="Montserrat;sans-serif" w:hAnsi="Montserrat;sans-serif"/>
          <w:color w:val="000000"/>
          <w:sz w:val="18"/>
        </w:rPr>
        <w:t xml:space="preserve">, or </w:t>
      </w:r>
      <w:r>
        <w:rPr>
          <w:rFonts w:ascii="Montserrat;sans-serif" w:hAnsi="Montserrat;sans-serif"/>
          <w:b/>
          <w:color w:val="000000"/>
          <w:sz w:val="18"/>
        </w:rPr>
        <w:t xml:space="preserve">ABSTAIN </w:t>
      </w:r>
      <w:r>
        <w:rPr>
          <w:rFonts w:ascii="Montserrat;sans-serif" w:hAnsi="Montserrat;sans-serif"/>
          <w:color w:val="000000"/>
          <w:sz w:val="18"/>
        </w:rPr>
        <w:t xml:space="preserve">with respect to this proposal. Abstentions are considered votes present and entitled to vote on this proposal, and thus will have the same effect as a vote </w:t>
      </w:r>
      <w:r>
        <w:rPr>
          <w:rFonts w:ascii="Montserrat;sans-serif" w:hAnsi="Montserrat;sans-serif"/>
          <w:b/>
          <w:color w:val="000000"/>
          <w:sz w:val="18"/>
        </w:rPr>
        <w:t xml:space="preserve">AGAINST </w:t>
      </w:r>
      <w:r>
        <w:rPr>
          <w:rFonts w:ascii="Montserrat;sans-serif" w:hAnsi="Montserrat;sans-serif"/>
          <w:color w:val="000000"/>
          <w:sz w:val="18"/>
        </w:rPr>
        <w:t>the proposal. Broker non-votes will have no effect on the outcome of this proposal.</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Who counts the votes?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We have engaged Broadridge Financial Solutions as our independent agent to tabulate stockholder votes. If you are a stockholder of record, and you choose to vote over the Internet (either prior to or during the Annual Meeting) or by telephone, Broadridge Financial Solutions will access and tabulate your vote electronically, and if you choose to sign and mail your proxy card, your executed proxy card is returned directly to Broadridge Financial Solutions for tabulation. As noted above, if you hold your shares through a broker, your broker (or its agent for tabulating votes of shares held in street name, as applicable) returns one proxy card to Broadridge Financial Solutions on behalf of all its clients.</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Who is paying for this proxy solicitation?</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We will pay for the cost of soliciting proxies to be voted at the Annual Meeting. We have retained Alliance Advisors, LLC for various services related to the solicitation of proxies, for the cost of approximately $17,500, plus reimbursement of expenses. In addition to these proxy materials, our directors and employees may also solicit proxies in person, by telephone, or by other means of communication. Directors and employees will not be paid additional compensation for soliciting proxies. We may reimburse brokers, banks and other agents for the cost of forwarding proxy materials to beneficial owners.</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When are stockholder proposals due for next year’s annual meeting?</w:t>
      </w:r>
    </w:p>
    <w:p>
      <w:pPr>
        <w:pStyle w:val="TextBody"/>
        <w:bidi w:val="0"/>
        <w:spacing w:before="120" w:after="283"/>
        <w:jc w:val="left"/>
        <w:rPr>
          <w:rFonts w:ascii="Montserrat;Montserrat Medium;sans-serif" w:hAnsi="Montserrat;Montserrat Medium;sans-serif"/>
          <w:b/>
          <w:color w:val="7855FA"/>
          <w:sz w:val="18"/>
        </w:rPr>
      </w:pPr>
      <w:r>
        <w:rPr>
          <w:rFonts w:ascii="Montserrat;Montserrat Medium;sans-serif" w:hAnsi="Montserrat;Montserrat Medium;sans-serif"/>
          <w:b/>
          <w:color w:val="7855FA"/>
          <w:sz w:val="18"/>
        </w:rPr>
        <w:t>Requirements for Stockholder Proposals to be Considered for Inclusion in our Proxy Materials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Stockholder proposals submitted pursuant to Rule 14a-8 under the Exchange Act and intended to be presented at the 2027 annual meeting of stockholders must be received by us no later than June 22, 2027 in order to be considered for inclusion in our proxy materials for that meeting.</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2641"/>
        <w:gridCol w:w="331"/>
      </w:tblGrid>
      <w:tr>
        <w:trPr/>
        <w:tc>
          <w:tcPr>
            <w:tcW w:w="26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243"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234" descr=""/>
                          <pic:cNvPicPr>
                            <a:picLocks noChangeAspect="1" noChangeArrowheads="1"/>
                          </pic:cNvPicPr>
                        </pic:nvPicPr>
                        <pic:blipFill>
                          <a:blip r:embed="rId236"/>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31"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91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rFonts w:ascii="Montserrat;sans-serif" w:hAnsi="Montserrat;sans-serif"/>
          <w:color w:val="000000"/>
          <w:sz w:val="13"/>
        </w:rPr>
      </w:pPr>
      <w:r>
        <w:rPr>
          <w:rFonts w:ascii="Montserrat;sans-serif" w:hAnsi="Montserrat;sans-serif"/>
          <w:color w:val="000000"/>
          <w:sz w:val="13"/>
        </w:rPr>
        <w:t>Questions and Answers about the Annual Meeting</w:t>
      </w:r>
    </w:p>
    <w:p>
      <w:pPr>
        <w:pStyle w:val="TextBody"/>
        <w:bidi w:val="0"/>
        <w:spacing w:before="60" w:after="283"/>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left"/>
        <w:rPr>
          <w:rFonts w:ascii="Montserrat;Montserrat Medium;sans-serif" w:hAnsi="Montserrat;Montserrat Medium;sans-serif"/>
          <w:b/>
          <w:color w:val="7855FA"/>
          <w:sz w:val="18"/>
        </w:rPr>
      </w:pPr>
      <w:r>
        <w:rPr>
          <w:rFonts w:ascii="Montserrat;Montserrat Medium;sans-serif" w:hAnsi="Montserrat;Montserrat Medium;sans-serif"/>
          <w:b/>
          <w:color w:val="7855FA"/>
          <w:sz w:val="18"/>
        </w:rPr>
        <w:t>Requirements for Stockholder Proposals to be Brought Before an Annual Meeting</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Our Amended and Restated Bylaws contain advance notice provisions that provide that, for stockholder director nominations or other proposals to be considered at an annual meeting of stockholders, the stockholder must give timely notice thereof in writing to our Secretary at Nutanix, Inc., 1740 Technology Drive, Suite 150, San Jose, California 95110. To be timely for our 2027 annual meeting of stockholders, a stockholder’s notice must be delivered to or mailed and received by our Secretary at Nutanix, Inc., 1740 Technology Drive, Suite 150, San Jose, California 95110 not earlier than 8:00 a.m., Pacific time, on August 6, 2027 nor later than 5:00 p.m., Pacific time, on September 5, 2027. A stockholder’s notice to the Secretary must set forth the information required by our Amended and Restated Bylaws, which bylaws include the information required by Rule 14a-19 of the Exchange Act.</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What is the quorum requirement?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A quorum of stockholders is necessary to hold a valid meeting. A quorum will be present if stockholders holding at least a majority of the aggregate voting power of the shares of Class A common stock issued, outstanding and entitled to vote are present in person at the meeting or represented by proxy.</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Your shares will be counted towards the quorum only if you submit a valid proxy (or one is submitted on your behalf by your broker, bank or other nominee) or if you vote during the Annual Meeting. Abstentions and broker non-votes will be counted towards the quorum requirement. If there is no quorum, either the chairperson of the Annual Meeting or the stockholders entitled to vote at the Annual Meeting that are present in person or represented by proxy may adjourn the meeting to another date.</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How can I find out the results of the voting at the Annual Meeting?</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We expect that preliminary voting results will be announced during or shortly following the Annual Meeting. In addition, final voting results will be published in a current report on Form 8-K that we expect to file with the SEC within four business days after the Annual Meeting.</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What does it mean if I receive more than one Notice?</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If you receive more than one Notice, your shares may be registered in more than one name or in different accounts. Please follow the instructions on the Notices to ensure that all your shares are voted.</w:t>
      </w:r>
    </w:p>
    <w:p>
      <w:pPr>
        <w:pStyle w:val="TextBody"/>
        <w:bidi w:val="0"/>
        <w:spacing w:before="360" w:after="283"/>
        <w:jc w:val="left"/>
        <w:rPr>
          <w:rFonts w:ascii="Montserrat;sans-serif" w:hAnsi="Montserrat;sans-serif"/>
          <w:b/>
          <w:color w:val="000000"/>
          <w:sz w:val="22"/>
        </w:rPr>
      </w:pPr>
      <w:r>
        <w:rPr>
          <w:rFonts w:ascii="Montserrat;sans-serif" w:hAnsi="Montserrat;sans-serif"/>
          <w:b/>
          <w:color w:val="000000"/>
          <w:sz w:val="22"/>
        </w:rPr>
        <w:t>What does it mean if multiple members of my household are stockholders, but we only received one Notice or full set of proxy materials in the mail?</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SEC has adopted rules that permit companies and intermediaries, such as brokers, to satisfy the delivery requirements for notices and proxy materials with respect to two or more stockholders sharing the same address by delivering a single Notice or set of proxy materials addressed to those stockholders. In accordance with a prior notice sent to certain brokers, banks, dealers or other agents, we are sending only one Notice or full set of proxy materials to those addresses with multiple stockholders unless we received contrary instructions from any stockholder at that address. This practice, known as “householding,” allows us to satisfy the requirements for delivering Notices or proxy materials with respect to two or more stockholders sharing the same address by delivering a single copy of these documents. Householding helps to reduce our printing and postage costs, reduces the amount of mail you receive and helps to preserve the environment. If you currently receive multiple copies of the Notice or proxy materials at your address and would like to request “householding” of your communications, please contact your broker. Once you have elected “householding” of your communications, “householding” will continue until you are notified otherwise or until you revoke your consent.</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 xml:space="preserve">To receive a separate copy or, if a stockholder is receiving multiple copies, to request that we only send a single copy of the Notice and, if applicable, our proxy materials, such stockholder may contact Broadridge, Householding Department, 51 Mercedes Way, Edgewood, New York 11717, or call 1-866-540-7095. Upon written or oral request, we will promptly deliver a separate copy of the Notice and, if applicable, our proxy materials and annual report to any stockholder at a shared address to which we delivered a single copy of these materials. </w:t>
      </w:r>
    </w:p>
    <w:p>
      <w:pPr>
        <w:pStyle w:val="TextBody"/>
        <w:bidi w:val="0"/>
        <w:spacing w:before="120" w:after="283"/>
        <w:jc w:val="center"/>
        <w:rPr/>
      </w:pPr>
      <w:r>
        <w:rPr/>
        <w:t> </w:t>
      </w:r>
    </w:p>
    <w:p>
      <w:pPr>
        <w:pStyle w:val="TextBody"/>
        <w:bidi w:val="0"/>
        <w:jc w:val="left"/>
        <w:rPr/>
      </w:pPr>
      <w:r>
        <w:rPr/>
        <w:t> </w:t>
      </w:r>
    </w:p>
    <w:tbl>
      <w:tblPr>
        <w:tblW w:w="2972" w:type="dxa"/>
        <w:jc w:val="left"/>
        <w:tblInd w:w="0" w:type="dxa"/>
        <w:tblLayout w:type="fixed"/>
        <w:tblCellMar>
          <w:top w:w="28" w:type="dxa"/>
          <w:left w:w="28" w:type="dxa"/>
          <w:bottom w:w="28" w:type="dxa"/>
          <w:right w:w="28" w:type="dxa"/>
        </w:tblCellMar>
      </w:tblPr>
      <w:tblGrid>
        <w:gridCol w:w="301"/>
        <w:gridCol w:w="2671"/>
      </w:tblGrid>
      <w:tr>
        <w:trPr/>
        <w:tc>
          <w:tcPr>
            <w:tcW w:w="30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92</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244"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35" descr=""/>
                          <pic:cNvPicPr>
                            <a:picLocks noChangeAspect="1" noChangeArrowheads="1"/>
                          </pic:cNvPicPr>
                        </pic:nvPicPr>
                        <pic:blipFill>
                          <a:blip r:embed="rId237"/>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pPr>
      <w:r>
        <w:rPr/>
        <w:t> </w:t>
      </w:r>
    </w:p>
    <w:p>
      <w:pPr>
        <w:pStyle w:val="TextBody"/>
        <w:bidi w:val="0"/>
        <w:spacing w:before="60" w:after="283"/>
        <w:jc w:val="right"/>
        <w:rPr/>
      </w:pPr>
      <w:r>
        <w:rPr/>
        <w:t> </w:t>
      </w:r>
    </w:p>
    <w:p>
      <w:pPr>
        <w:pStyle w:val="TextBody"/>
        <w:bidi w:val="0"/>
        <w:jc w:val="right"/>
        <w:rPr/>
      </w:pPr>
      <w:r>
        <w:rPr/>
        <w:t> </w:t>
      </w:r>
    </w:p>
    <w:p>
      <w:pPr>
        <w:pStyle w:val="TextBody"/>
        <w:bidi w:val="0"/>
        <w:jc w:val="right"/>
        <w:rPr/>
      </w:pPr>
      <w:r>
        <w:rPr/>
        <w:t> </w:t>
      </w:r>
    </w:p>
    <w:p>
      <w:pPr>
        <w:pStyle w:val="Heading1"/>
        <w:bidi w:val="0"/>
        <w:spacing w:before="0" w:after="560"/>
        <w:jc w:val="left"/>
        <w:rPr>
          <w:rFonts w:ascii="Montserrat;sans-serif" w:hAnsi="Montserrat;sans-serif"/>
          <w:color w:val="000000"/>
          <w:sz w:val="56"/>
        </w:rPr>
      </w:pPr>
      <w:bookmarkStart w:id="32" w:name="appendix_a_key_performance_measures_and"/>
      <w:bookmarkEnd w:id="32"/>
      <w:r>
        <w:rPr>
          <w:rFonts w:ascii="Montserrat;sans-serif" w:hAnsi="Montserrat;sans-serif"/>
          <w:color w:val="000000"/>
          <w:sz w:val="56"/>
        </w:rPr>
        <w:t>Appendix A – Key Performance and Non-GAAP Financial Measures</w:t>
      </w:r>
    </w:p>
    <w:p>
      <w:pPr>
        <w:pStyle w:val="TextBody"/>
        <w:bidi w:val="0"/>
        <w:jc w:val="both"/>
        <w:rPr>
          <w:rFonts w:ascii="Montserrat;sans-serif" w:hAnsi="Montserrat;sans-serif"/>
          <w:color w:val="000000"/>
          <w:sz w:val="18"/>
        </w:rPr>
      </w:pPr>
      <w:r>
        <w:rPr>
          <w:rFonts w:ascii="Montserrat;sans-serif" w:hAnsi="Montserrat;sans-serif"/>
          <w:color w:val="000000"/>
          <w:sz w:val="18"/>
        </w:rPr>
        <w:t>This proxy statement includes the following key performance and non-GAAP financial measures:</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sz w:val="18"/>
        </w:rPr>
      </w:pPr>
      <w:r>
        <w:rPr>
          <w:rFonts w:ascii="Montserrat;sans-serif" w:hAnsi="Montserrat;sans-serif"/>
          <w:b/>
          <w:color w:val="7855FA"/>
          <w:sz w:val="18"/>
        </w:rPr>
        <w:t>Annual recurring revenue (“ARR”)</w:t>
      </w:r>
      <w:r>
        <w:rPr>
          <w:rFonts w:ascii="Montserrat;sans-serif" w:hAnsi="Montserrat;sans-serif"/>
          <w:color w:val="000000"/>
          <w:sz w:val="18"/>
        </w:rPr>
        <w:t xml:space="preserve"> – We define ARR as the sum of the annual contract value (“ACV”) for all subscription contracts from all customers in effect as of a specific period, assuming any subscription contract that expires is renewed on its existing terms. ARR excludes the value of professional services, non-portable software and support contracts and hardware sales. For the purposes of this calculation, we generally assume that the contract term begins on the date when the software is made available to the customer. ACV is defined as the total annualized value of a contract, which is calculated by dividing the total value of the contract by the number of years in the term of such contract. Beginning with the first quarter of fiscal year 2026, our methodology for calculating ARR was updated to align more closely with the timing of when licenses are made available to customers.</w:t>
      </w:r>
    </w:p>
    <w:p>
      <w:pPr>
        <w:pStyle w:val="TextBody"/>
        <w:bidi w:val="0"/>
        <w:spacing w:before="120" w:after="283"/>
        <w:jc w:val="both"/>
        <w:rPr>
          <w:color w:val="7855FA"/>
        </w:rPr>
      </w:pPr>
      <w:r>
        <w:rPr>
          <w:color w:val="7855FA"/>
        </w:rPr>
        <w:t>•</w:t>
      </w:r>
    </w:p>
    <w:p>
      <w:pPr>
        <w:pStyle w:val="TextBody"/>
        <w:bidi w:val="0"/>
        <w:spacing w:before="120" w:after="283"/>
        <w:jc w:val="both"/>
        <w:rPr>
          <w:rFonts w:ascii="Montserrat;sans-serif" w:hAnsi="Montserrat;sans-serif"/>
          <w:sz w:val="18"/>
        </w:rPr>
      </w:pPr>
      <w:r>
        <w:rPr>
          <w:rFonts w:ascii="Montserrat;sans-serif" w:hAnsi="Montserrat;sans-serif"/>
          <w:b/>
          <w:color w:val="7855FA"/>
          <w:sz w:val="18"/>
        </w:rPr>
        <w:t>Free cash flow</w:t>
      </w:r>
      <w:r>
        <w:rPr>
          <w:rFonts w:ascii="Montserrat;sans-serif" w:hAnsi="Montserrat;sans-serif"/>
          <w:color w:val="000000"/>
          <w:sz w:val="18"/>
        </w:rPr>
        <w:t xml:space="preserve"> – We calculate free cash flow as net cash provided by operating activities less purchases of property and equipment, which measures our ability to generate cash from our business operations after our capital expenditures.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ARR is a performance measure that we believe provides useful information to our management and investors as it allows us to better track the top-line growth of our subscription business (including our ability to acquire subscriptions with new customers and to retain and expand with existing customers), while normalizing for differences in contract durations. Our calculation of ARR is not adjusted for the impact of any known or projected future events (such as customer cancellations, expansion or contraction of existing customer relationships or price increases or decreases) that may cause any subscription contract not to be renewed on its existing terms. ARR is a performance measure that should be viewed independently of revenue and does not represent our revenue under GAAP on an annualized basis or a forecast of GAAP revenue. Investors should not place undue reliance on ARR as an indicator of our future or expected results. ARR does not have any standardized meaning and is therefore unlikely to be comparable to similarly titled performance measures presented by other companies. Free cash flow is a performance measure that we believe provides useful information to management and investors about the amount of cash generated by the business after capital expenditures. We use these key performance and non-GAAP financial measures for financial and operational decision-making and as a means to evaluate period-to-period comparisons. However, these key performance and non-GAAP financial measures have limitations as analytical tools, and you should not consider them in isolation or as substitutes for analysis of our results as reported under GAAP. Because there is no GAAP measure that is comparable to ARR, we have not reconciled the ARR data included in this proxy statement to any GAAP measure. The GAAP measure that is most comparable to free cash flow is net cash provided by operating activities. In addition, other companies, including companies in our industry, may calculate key performance measures and non-GAAP financial measures differently or may use other measures to evaluate their performance, all of which could reduce the usefulness of our key performance measures and non-GAAP financial measures as tools for comparison. We urge you not to rely on any single financial measure to evaluate our business.</w:t>
      </w:r>
    </w:p>
    <w:p>
      <w:pPr>
        <w:pStyle w:val="TextBody"/>
        <w:bidi w:val="0"/>
        <w:jc w:val="both"/>
        <w:rPr/>
      </w:pPr>
      <w:r>
        <w:rPr/>
        <w:t> </w:t>
      </w:r>
    </w:p>
    <w:tbl>
      <w:tblPr>
        <w:tblW w:w="7356" w:type="dxa"/>
        <w:jc w:val="left"/>
        <w:tblInd w:w="0" w:type="dxa"/>
        <w:tblLayout w:type="fixed"/>
        <w:tblCellMar>
          <w:top w:w="28" w:type="dxa"/>
          <w:left w:w="28" w:type="dxa"/>
          <w:bottom w:w="28" w:type="dxa"/>
          <w:right w:w="28" w:type="dxa"/>
        </w:tblCellMar>
      </w:tblPr>
      <w:tblGrid>
        <w:gridCol w:w="4451"/>
        <w:gridCol w:w="146"/>
        <w:gridCol w:w="1191"/>
        <w:gridCol w:w="189"/>
        <w:gridCol w:w="1379"/>
      </w:tblGrid>
      <w:tr>
        <w:trPr/>
        <w:tc>
          <w:tcPr>
            <w:tcW w:w="4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7855FA"/>
                <w:sz w:val="18"/>
              </w:rPr>
            </w:pPr>
            <w:r>
              <w:rPr>
                <w:rFonts w:ascii="Montserrat;sans-serif" w:hAnsi="Montserrat;sans-serif"/>
                <w:b/>
                <w:color w:val="7855FA"/>
                <w:sz w:val="18"/>
              </w:rPr>
              <w:t>Fiscal Year Ended July 31,</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379"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Montserrat Medium;sans-serif" w:hAnsi="Montserrat;Montserrat Medium;sans-serif"/>
                <w:b/>
                <w:color w:val="7855FA"/>
                <w:sz w:val="18"/>
              </w:rPr>
            </w:pPr>
            <w:r>
              <w:rPr>
                <w:rFonts w:ascii="Montserrat;Montserrat Medium;sans-serif" w:hAnsi="Montserrat;Montserrat Medium;sans-serif"/>
                <w:b/>
                <w:color w:val="7855FA"/>
                <w:sz w:val="18"/>
              </w:rPr>
              <w:t>2025</w:t>
              <w:b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Montserrat Medium;sans-serif" w:hAnsi="Montserrat;Montserrat Medium;sans-serif"/>
                <w:b/>
                <w:color w:val="7855FA"/>
                <w:sz w:val="18"/>
              </w:rPr>
            </w:pPr>
            <w:r>
              <w:rPr>
                <w:rFonts w:ascii="Montserrat;Montserrat Medium;sans-serif" w:hAnsi="Montserrat;Montserrat Medium;sans-serif"/>
                <w:b/>
                <w:color w:val="7855FA"/>
                <w:sz w:val="18"/>
              </w:rPr>
              <w:t>2026</w:t>
              <w:br/>
              <w:t>($)</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c>
          <w:tcPr>
            <w:tcW w:w="189"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1379"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45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center"/>
              <w:rPr/>
            </w:pPr>
            <w:r>
              <w:rPr/>
              <w:t> </w:t>
            </w:r>
          </w:p>
        </w:tc>
        <w:tc>
          <w:tcPr>
            <w:tcW w:w="2759" w:type="dxa"/>
            <w:gridSpan w:val="3"/>
            <w:tcBorders>
              <w:bottom w:val="single" w:sz="4" w:space="0" w:color="7855FA"/>
            </w:tcBorders>
            <w:shd w:fill="FFFFFF" w:val="clear"/>
            <w:tcMar>
              <w:top w:w="0" w:type="dxa"/>
              <w:left w:w="0" w:type="dxa"/>
              <w:right w:w="0" w:type="dxa"/>
            </w:tcMar>
            <w:vAlign w:val="center"/>
          </w:tcPr>
          <w:p>
            <w:pPr>
              <w:pStyle w:val="TableContents"/>
              <w:bidi w:val="0"/>
              <w:spacing w:before="0" w:after="283"/>
              <w:ind w:left="0" w:right="0" w:firstLine="100"/>
              <w:jc w:val="center"/>
              <w:rPr>
                <w:rFonts w:ascii="Montserrat;Montserrat Medium;sans-serif" w:hAnsi="Montserrat;Montserrat Medium;sans-serif"/>
                <w:b/>
                <w:color w:val="7855FA"/>
                <w:sz w:val="18"/>
              </w:rPr>
            </w:pPr>
            <w:r>
              <w:rPr>
                <w:rFonts w:ascii="Montserrat;Montserrat Medium;sans-serif" w:hAnsi="Montserrat;Montserrat Medium;sans-serif"/>
                <w:b/>
                <w:color w:val="7855FA"/>
                <w:sz w:val="18"/>
              </w:rPr>
              <w:t>(in thousands)</w:t>
            </w:r>
          </w:p>
        </w:tc>
      </w:tr>
      <w:tr>
        <w:trPr/>
        <w:tc>
          <w:tcPr>
            <w:tcW w:w="44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Net cash provided by operating activities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821,456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rFonts w:ascii="Montserrat;sans-serif" w:hAnsi="Montserrat;sans-serif"/>
                <w:color w:val="000000"/>
                <w:sz w:val="18"/>
              </w:rPr>
            </w:pPr>
            <w:r>
              <w:rPr>
                <w:rFonts w:ascii="Montserrat;sans-serif" w:hAnsi="Montserrat;sans-serif"/>
                <w:color w:val="000000"/>
                <w:sz w:val="18"/>
              </w:rPr>
              <w:t>916,688</w:t>
            </w:r>
          </w:p>
        </w:tc>
      </w:tr>
      <w:tr>
        <w:trPr/>
        <w:tc>
          <w:tcPr>
            <w:tcW w:w="44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Montserrat Medium;sans-serif" w:hAnsi="Montserrat;Montserrat Medium;sans-serif"/>
                <w:b/>
                <w:color w:val="000000"/>
                <w:sz w:val="18"/>
              </w:rPr>
            </w:pPr>
            <w:r>
              <w:rPr>
                <w:rFonts w:ascii="Montserrat;Montserrat Medium;sans-serif" w:hAnsi="Montserrat;Montserrat Medium;sans-serif"/>
                <w:b/>
                <w:color w:val="000000"/>
                <w:sz w:val="18"/>
              </w:rPr>
              <w:t>Purchases of property and equipment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(71,283)</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rFonts w:ascii="Montserrat;sans-serif" w:hAnsi="Montserrat;sans-serif"/>
                <w:color w:val="000000"/>
                <w:sz w:val="18"/>
              </w:rPr>
            </w:pPr>
            <w:r>
              <w:rPr>
                <w:rFonts w:ascii="Montserrat;sans-serif" w:hAnsi="Montserrat;sans-serif"/>
                <w:color w:val="000000"/>
                <w:sz w:val="18"/>
              </w:rPr>
              <w:t>(76,013)</w:t>
            </w:r>
          </w:p>
        </w:tc>
      </w:tr>
      <w:tr>
        <w:trPr/>
        <w:tc>
          <w:tcPr>
            <w:tcW w:w="4451" w:type="dxa"/>
            <w:tcBorders>
              <w:bottom w:val="single" w:sz="4" w:space="0" w:color="7855FA"/>
            </w:tcBorders>
            <w:shd w:fill="FFFFFF" w:val="clear"/>
            <w:tcMar>
              <w:top w:w="0" w:type="dxa"/>
              <w:left w:w="0" w:type="dxa"/>
              <w:right w:w="0" w:type="dxa"/>
            </w:tcMar>
            <w:vAlign w:val="center"/>
          </w:tcPr>
          <w:p>
            <w:pPr>
              <w:pStyle w:val="TableContents"/>
              <w:bidi w:val="0"/>
              <w:spacing w:before="0" w:after="283"/>
              <w:ind w:left="100" w:right="0" w:firstLine="100"/>
              <w:jc w:val="left"/>
              <w:rPr>
                <w:rFonts w:ascii="Montserrat;sans-serif" w:hAnsi="Montserrat;sans-serif"/>
                <w:b/>
                <w:color w:val="7855FA"/>
                <w:sz w:val="18"/>
              </w:rPr>
            </w:pPr>
            <w:r>
              <w:rPr>
                <w:rFonts w:ascii="Montserrat;sans-serif" w:hAnsi="Montserrat;sans-serif"/>
                <w:b/>
                <w:color w:val="7855FA"/>
                <w:sz w:val="18"/>
              </w:rPr>
              <w:t>FREE CASH FLOW (NON-GAAP)</w:t>
            </w:r>
          </w:p>
        </w:tc>
        <w:tc>
          <w:tcPr>
            <w:tcW w:w="146"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191"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b/>
                <w:color w:val="7855FA"/>
                <w:sz w:val="18"/>
              </w:rPr>
            </w:pPr>
            <w:r>
              <w:rPr>
                <w:rFonts w:ascii="Montserrat;sans-serif" w:hAnsi="Montserrat;sans-serif"/>
                <w:b/>
                <w:color w:val="7855FA"/>
                <w:sz w:val="18"/>
              </w:rPr>
              <w:t>750,173</w:t>
            </w:r>
          </w:p>
        </w:tc>
        <w:tc>
          <w:tcPr>
            <w:tcW w:w="189"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left"/>
              <w:rPr/>
            </w:pPr>
            <w:r>
              <w:rPr/>
              <w:t> </w:t>
            </w:r>
          </w:p>
        </w:tc>
        <w:tc>
          <w:tcPr>
            <w:tcW w:w="1379" w:type="dxa"/>
            <w:tcBorders>
              <w:bottom w:val="single" w:sz="4" w:space="0" w:color="7855FA"/>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b/>
                <w:color w:val="7855FA"/>
                <w:sz w:val="18"/>
              </w:rPr>
            </w:pPr>
            <w:r>
              <w:rPr>
                <w:rFonts w:ascii="Montserrat;sans-serif" w:hAnsi="Montserrat;sans-serif"/>
                <w:b/>
                <w:color w:val="7855FA"/>
                <w:sz w:val="18"/>
              </w:rPr>
              <w:t>840,675</w:t>
            </w:r>
          </w:p>
        </w:tc>
      </w:tr>
    </w:tbl>
    <w:p>
      <w:pPr>
        <w:pStyle w:val="TextBody"/>
        <w:bidi w:val="0"/>
        <w:jc w:val="both"/>
        <w:rPr/>
      </w:pPr>
      <w:r>
        <w:rPr/>
        <w:t> </w:t>
      </w:r>
    </w:p>
    <w:p>
      <w:pPr>
        <w:pStyle w:val="TextBody"/>
        <w:bidi w:val="0"/>
        <w:jc w:val="left"/>
        <w:rPr/>
      </w:pPr>
      <w:r>
        <w:rPr/>
        <w:t> </w:t>
      </w:r>
    </w:p>
    <w:tbl>
      <w:tblPr>
        <w:tblW w:w="3017" w:type="dxa"/>
        <w:jc w:val="left"/>
        <w:tblInd w:w="0" w:type="dxa"/>
        <w:tblLayout w:type="fixed"/>
        <w:tblCellMar>
          <w:top w:w="28" w:type="dxa"/>
          <w:left w:w="28" w:type="dxa"/>
          <w:bottom w:w="28" w:type="dxa"/>
          <w:right w:w="28" w:type="dxa"/>
        </w:tblCellMar>
      </w:tblPr>
      <w:tblGrid>
        <w:gridCol w:w="2641"/>
        <w:gridCol w:w="376"/>
      </w:tblGrid>
      <w:tr>
        <w:trPr/>
        <w:tc>
          <w:tcPr>
            <w:tcW w:w="264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245"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36" descr=""/>
                          <pic:cNvPicPr>
                            <a:picLocks noChangeAspect="1" noChangeArrowheads="1"/>
                          </pic:cNvPicPr>
                        </pic:nvPicPr>
                        <pic:blipFill>
                          <a:blip r:embed="rId238"/>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76"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A-1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pPr>
      <w:r>
        <w:rPr/>
        <w:t> </w:t>
      </w:r>
    </w:p>
    <w:p>
      <w:pPr>
        <w:pStyle w:val="TextBody"/>
        <w:bidi w:val="0"/>
        <w:spacing w:before="60" w:after="283"/>
        <w:jc w:val="right"/>
        <w:rPr/>
      </w:pPr>
      <w:r>
        <w:rPr/>
        <w:t> </w:t>
      </w:r>
    </w:p>
    <w:p>
      <w:pPr>
        <w:pStyle w:val="TextBody"/>
        <w:bidi w:val="0"/>
        <w:jc w:val="right"/>
        <w:rPr/>
      </w:pPr>
      <w:r>
        <w:rPr/>
        <w:t> </w:t>
      </w:r>
    </w:p>
    <w:p>
      <w:pPr>
        <w:pStyle w:val="TextBody"/>
        <w:bidi w:val="0"/>
        <w:jc w:val="right"/>
        <w:rPr/>
      </w:pPr>
      <w:r>
        <w:rPr/>
        <w:t> </w:t>
      </w:r>
    </w:p>
    <w:p>
      <w:pPr>
        <w:pStyle w:val="Heading1"/>
        <w:bidi w:val="0"/>
        <w:jc w:val="left"/>
        <w:rPr>
          <w:rFonts w:ascii="Montserrat;sans-serif" w:hAnsi="Montserrat;sans-serif"/>
          <w:color w:val="000000"/>
          <w:sz w:val="56"/>
        </w:rPr>
      </w:pPr>
      <w:bookmarkStart w:id="33" w:name="appendixb_proposed_amended_restated_eip"/>
      <w:bookmarkEnd w:id="33"/>
      <w:r>
        <w:rPr>
          <w:rFonts w:ascii="Montserrat;sans-serif" w:hAnsi="Montserrat;sans-serif"/>
          <w:color w:val="000000"/>
          <w:sz w:val="56"/>
        </w:rPr>
        <w:t>Appendix B – Amended and Restated 2016 Equity Incentive Plan, as Proposed to be Amended</w:t>
      </w:r>
    </w:p>
    <w:p>
      <w:pPr>
        <w:pStyle w:val="TextBody"/>
        <w:bidi w:val="0"/>
        <w:spacing w:before="480" w:after="283"/>
        <w:jc w:val="center"/>
        <w:rPr>
          <w:rFonts w:ascii="Montserrat;sans-serif" w:hAnsi="Montserrat;sans-serif"/>
          <w:b/>
          <w:color w:val="7855FA"/>
          <w:sz w:val="24"/>
        </w:rPr>
      </w:pPr>
      <w:r>
        <w:rPr>
          <w:rFonts w:ascii="Montserrat;sans-serif" w:hAnsi="Montserrat;sans-serif"/>
          <w:b/>
          <w:color w:val="7855FA"/>
          <w:sz w:val="24"/>
        </w:rPr>
        <w:t>NUTANIX, INC.</w:t>
      </w:r>
    </w:p>
    <w:p>
      <w:pPr>
        <w:pStyle w:val="TextBody"/>
        <w:bidi w:val="0"/>
        <w:spacing w:before="120" w:after="283"/>
        <w:jc w:val="center"/>
        <w:rPr>
          <w:rFonts w:ascii="Montserrat;sans-serif" w:hAnsi="Montserrat;sans-serif"/>
          <w:b/>
          <w:color w:val="7855FA"/>
          <w:sz w:val="24"/>
        </w:rPr>
      </w:pPr>
      <w:r>
        <w:rPr>
          <w:rFonts w:ascii="Montserrat;sans-serif" w:hAnsi="Montserrat;sans-serif"/>
          <w:b/>
          <w:color w:val="7855FA"/>
          <w:sz w:val="24"/>
        </w:rPr>
        <w:t>AMENDED AND RESTATED 2016 EQUITY INCENTIVE PLAN</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(As proposed to be amended, subject to and contingent upon stockholder approval at the 2026 Annual Meeting of Stockholders)</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 xml:space="preserve">1. </w:t>
      </w:r>
      <w:r>
        <w:rPr>
          <w:rFonts w:ascii="Montserrat;sans-serif" w:hAnsi="Montserrat;sans-serif"/>
          <w:color w:val="000000"/>
          <w:sz w:val="18"/>
          <w:u w:val="single"/>
        </w:rPr>
        <w:t>Purposes of the Plan</w:t>
      </w:r>
      <w:r>
        <w:rPr>
          <w:rFonts w:ascii="Montserrat;sans-serif" w:hAnsi="Montserrat;sans-serif"/>
          <w:color w:val="000000"/>
          <w:sz w:val="18"/>
        </w:rPr>
        <w:t xml:space="preserve">. The Plan was approved by the Company’s stockholders on December 12, 2025. The purposes of this Plan are: </w:t>
      </w:r>
    </w:p>
    <w:p>
      <w:pPr>
        <w:pStyle w:val="TextBody"/>
        <w:bidi w:val="0"/>
        <w:spacing w:before="120" w:after="283"/>
        <w:ind w:left="0" w:right="0" w:firstLine="720"/>
        <w:jc w:val="both"/>
        <w:rPr>
          <w:rFonts w:ascii="Montserrat;sans-serif" w:hAnsi="Montserrat;sans-serif"/>
          <w:color w:val="000000"/>
          <w:sz w:val="18"/>
        </w:rPr>
      </w:pPr>
      <w:r>
        <w:rPr>
          <w:rFonts w:ascii="Montserrat;sans-serif" w:hAnsi="Montserrat;sans-serif"/>
          <w:color w:val="000000"/>
          <w:sz w:val="18"/>
        </w:rPr>
        <w:t>(a) to attract and retain the best available personnel for positions of substantial responsibility,</w:t>
      </w:r>
    </w:p>
    <w:p>
      <w:pPr>
        <w:pStyle w:val="TextBody"/>
        <w:bidi w:val="0"/>
        <w:spacing w:before="120" w:after="283"/>
        <w:ind w:left="0" w:right="0" w:firstLine="720"/>
        <w:jc w:val="both"/>
        <w:rPr>
          <w:rFonts w:ascii="Montserrat;sans-serif" w:hAnsi="Montserrat;sans-serif"/>
          <w:color w:val="000000"/>
          <w:sz w:val="18"/>
        </w:rPr>
      </w:pPr>
      <w:r>
        <w:rPr>
          <w:rFonts w:ascii="Montserrat;sans-serif" w:hAnsi="Montserrat;sans-serif"/>
          <w:color w:val="000000"/>
          <w:sz w:val="18"/>
        </w:rPr>
        <w:t xml:space="preserve">(b) to provide additional incentive to Employees, Directors and Consultants, and </w:t>
      </w:r>
    </w:p>
    <w:p>
      <w:pPr>
        <w:pStyle w:val="TextBody"/>
        <w:bidi w:val="0"/>
        <w:spacing w:before="120" w:after="283"/>
        <w:ind w:left="0" w:right="0" w:firstLine="720"/>
        <w:jc w:val="both"/>
        <w:rPr>
          <w:rFonts w:ascii="Montserrat;sans-serif" w:hAnsi="Montserrat;sans-serif"/>
          <w:color w:val="000000"/>
          <w:sz w:val="18"/>
        </w:rPr>
      </w:pPr>
      <w:r>
        <w:rPr>
          <w:rFonts w:ascii="Montserrat;sans-serif" w:hAnsi="Montserrat;sans-serif"/>
          <w:color w:val="000000"/>
          <w:sz w:val="18"/>
        </w:rPr>
        <w:t>(c) to promote the success of the Company’s business.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The Plan permits the grant of Incentive Stock Options, Nonstatutory Stock Options, Restricted Stock, Restricted Stock Units, Stock Appreciation Rights, Performance Units and Performance Shares.</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 xml:space="preserve">2. </w:t>
      </w:r>
      <w:r>
        <w:rPr>
          <w:rFonts w:ascii="Montserrat;sans-serif" w:hAnsi="Montserrat;sans-serif"/>
          <w:color w:val="000000"/>
          <w:sz w:val="18"/>
          <w:u w:val="single"/>
        </w:rPr>
        <w:t>Definitions</w:t>
      </w:r>
      <w:r>
        <w:rPr>
          <w:rFonts w:ascii="Montserrat;sans-serif" w:hAnsi="Montserrat;sans-serif"/>
          <w:color w:val="000000"/>
          <w:sz w:val="18"/>
        </w:rPr>
        <w:t>. As used herein, the following definitions will apply:</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(a) “</w:t>
      </w:r>
      <w:r>
        <w:rPr>
          <w:rFonts w:ascii="Montserrat;sans-serif" w:hAnsi="Montserrat;sans-serif"/>
          <w:color w:val="000000"/>
          <w:sz w:val="18"/>
          <w:u w:val="single"/>
        </w:rPr>
        <w:t>Administrator</w:t>
      </w:r>
      <w:r>
        <w:rPr>
          <w:rFonts w:ascii="Montserrat;sans-serif" w:hAnsi="Montserrat;sans-serif"/>
          <w:color w:val="000000"/>
          <w:sz w:val="18"/>
        </w:rPr>
        <w:t>” means the Board or any of its Committees as will be administering the Plan, in accordance with Section 4 of the Plan.</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(b) “</w:t>
      </w:r>
      <w:r>
        <w:rPr>
          <w:rFonts w:ascii="Montserrat;sans-serif" w:hAnsi="Montserrat;sans-serif"/>
          <w:color w:val="000000"/>
          <w:sz w:val="18"/>
          <w:u w:val="single"/>
        </w:rPr>
        <w:t>Affiliate</w:t>
      </w:r>
      <w:r>
        <w:rPr>
          <w:rFonts w:ascii="Montserrat;sans-serif" w:hAnsi="Montserrat;sans-serif"/>
          <w:color w:val="000000"/>
          <w:sz w:val="18"/>
        </w:rPr>
        <w:t>” means any entity, other than a Subsidiary, in which the Company has an equity or other ownership interest.</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(c) “</w:t>
      </w:r>
      <w:r>
        <w:rPr>
          <w:rFonts w:ascii="Montserrat;sans-serif" w:hAnsi="Montserrat;sans-serif"/>
          <w:color w:val="000000"/>
          <w:sz w:val="18"/>
          <w:u w:val="single"/>
        </w:rPr>
        <w:t>Amendment Date</w:t>
      </w:r>
      <w:r>
        <w:rPr>
          <w:rFonts w:ascii="Montserrat;sans-serif" w:hAnsi="Montserrat;sans-serif"/>
          <w:color w:val="000000"/>
          <w:sz w:val="18"/>
        </w:rPr>
        <w:t>” means the date on which the amendment to the Plan reflected herein is approved by the Company’s stockholders.</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(d) “</w:t>
      </w:r>
      <w:r>
        <w:rPr>
          <w:rFonts w:ascii="Montserrat;sans-serif" w:hAnsi="Montserrat;sans-serif"/>
          <w:color w:val="000000"/>
          <w:sz w:val="18"/>
          <w:u w:val="single"/>
        </w:rPr>
        <w:t>Applicable Laws</w:t>
      </w:r>
      <w:r>
        <w:rPr>
          <w:rFonts w:ascii="Montserrat;sans-serif" w:hAnsi="Montserrat;sans-serif"/>
          <w:color w:val="000000"/>
          <w:sz w:val="18"/>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 Reference to a specific section of an Applicable Law shall include such section, any valid regulation or other formal guidance of general or direct applicability promulgated under such section, and any comparable provision of any future legislation or regulation amending, supplementing or superseding such section or regulation.</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(e) “</w:t>
      </w:r>
      <w:r>
        <w:rPr>
          <w:rFonts w:ascii="Montserrat;sans-serif" w:hAnsi="Montserrat;sans-serif"/>
          <w:color w:val="000000"/>
          <w:sz w:val="18"/>
          <w:u w:val="single"/>
        </w:rPr>
        <w:t>Award</w:t>
      </w:r>
      <w:r>
        <w:rPr>
          <w:rFonts w:ascii="Montserrat;sans-serif" w:hAnsi="Montserrat;sans-serif"/>
          <w:color w:val="000000"/>
          <w:sz w:val="18"/>
        </w:rPr>
        <w:t>” means, individually or collectively, a grant under the Plan of Options, Stock Appreciation Rights, Restricted Stock, Restricted Stock Units, Performance Units or Performance Shares.</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(f) “</w:t>
      </w:r>
      <w:r>
        <w:rPr>
          <w:rFonts w:ascii="Montserrat;sans-serif" w:hAnsi="Montserrat;sans-serif"/>
          <w:color w:val="000000"/>
          <w:sz w:val="18"/>
          <w:u w:val="single"/>
        </w:rPr>
        <w:t>Award Agreement</w:t>
      </w:r>
      <w:r>
        <w:rPr>
          <w:rFonts w:ascii="Montserrat;sans-serif" w:hAnsi="Montserrat;sans-serif"/>
          <w:color w:val="000000"/>
          <w:sz w:val="18"/>
        </w:rPr>
        <w:t>” means the written or electronic agreement setting forth the terms and provisions applicable to each Award granted under the Plan. The Award Agreement is subject to the terms and conditions of the Plan.</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(g) “</w:t>
      </w:r>
      <w:r>
        <w:rPr>
          <w:rFonts w:ascii="Montserrat;sans-serif" w:hAnsi="Montserrat;sans-serif"/>
          <w:color w:val="000000"/>
          <w:sz w:val="18"/>
          <w:u w:val="single"/>
        </w:rPr>
        <w:t>Board</w:t>
      </w:r>
      <w:r>
        <w:rPr>
          <w:rFonts w:ascii="Montserrat;sans-serif" w:hAnsi="Montserrat;sans-serif"/>
          <w:color w:val="000000"/>
          <w:sz w:val="18"/>
        </w:rPr>
        <w:t>” means the Board of Directors of the Company.</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(h) “</w:t>
      </w:r>
      <w:r>
        <w:rPr>
          <w:rFonts w:ascii="Montserrat;sans-serif" w:hAnsi="Montserrat;sans-serif"/>
          <w:color w:val="000000"/>
          <w:sz w:val="18"/>
          <w:u w:val="single"/>
        </w:rPr>
        <w:t>Cause</w:t>
      </w:r>
      <w:r>
        <w:rPr>
          <w:rFonts w:ascii="Montserrat;sans-serif" w:hAnsi="Montserrat;sans-serif"/>
          <w:color w:val="000000"/>
          <w:sz w:val="18"/>
        </w:rPr>
        <w:t>” shall have the meaning ascribed to such term in an applicable Award Agreement or other agreement entered into between the Company and a Participant. In the absence of such a definition, “Cause” shall mean:</w:t>
      </w:r>
    </w:p>
    <w:p>
      <w:pPr>
        <w:pStyle w:val="TextBody"/>
        <w:bidi w:val="0"/>
        <w:spacing w:before="120" w:after="283"/>
        <w:ind w:left="0" w:right="0" w:firstLine="1440"/>
        <w:jc w:val="both"/>
        <w:rPr>
          <w:rFonts w:ascii="Montserrat;sans-serif" w:hAnsi="Montserrat;sans-serif"/>
          <w:color w:val="000000"/>
          <w:sz w:val="18"/>
        </w:rPr>
      </w:pPr>
      <w:r>
        <w:rPr>
          <w:rFonts w:ascii="Montserrat;sans-serif" w:hAnsi="Montserrat;sans-serif"/>
          <w:color w:val="000000"/>
          <w:sz w:val="18"/>
        </w:rPr>
        <w:t xml:space="preserve">(i) a Participant’s repeated willful failure to perform his or her duties and responsibilities to the Company or a Participant’s material violation of any material written Company policy; </w:t>
      </w:r>
    </w:p>
    <w:p>
      <w:pPr>
        <w:pStyle w:val="TextBody"/>
        <w:bidi w:val="0"/>
        <w:spacing w:before="120" w:after="283"/>
        <w:ind w:left="0" w:right="0" w:firstLine="1440"/>
        <w:jc w:val="both"/>
        <w:rPr>
          <w:rFonts w:ascii="Montserrat;sans-serif" w:hAnsi="Montserrat;sans-serif"/>
          <w:color w:val="000000"/>
          <w:sz w:val="18"/>
        </w:rPr>
      </w:pPr>
      <w:r>
        <w:rPr>
          <w:rFonts w:ascii="Montserrat;sans-serif" w:hAnsi="Montserrat;sans-serif"/>
          <w:color w:val="000000"/>
          <w:sz w:val="18"/>
        </w:rPr>
        <w:t xml:space="preserve">(ii) a Participant’s commission of any act of fraud, embezzlement or any other willful misconduct that has caused or is reasonably expected to result in injury to the Company; </w:t>
      </w:r>
    </w:p>
    <w:p>
      <w:pPr>
        <w:pStyle w:val="TextBody"/>
        <w:bidi w:val="0"/>
        <w:jc w:val="both"/>
        <w:rPr/>
      </w:pPr>
      <w:r>
        <w:rPr/>
        <w:t> </w:t>
      </w:r>
    </w:p>
    <w:tbl>
      <w:tblPr>
        <w:tblW w:w="3017" w:type="dxa"/>
        <w:jc w:val="left"/>
        <w:tblInd w:w="0" w:type="dxa"/>
        <w:tblLayout w:type="fixed"/>
        <w:tblCellMar>
          <w:top w:w="28" w:type="dxa"/>
          <w:left w:w="28" w:type="dxa"/>
          <w:bottom w:w="28" w:type="dxa"/>
          <w:right w:w="28" w:type="dxa"/>
        </w:tblCellMar>
      </w:tblPr>
      <w:tblGrid>
        <w:gridCol w:w="2641"/>
        <w:gridCol w:w="376"/>
      </w:tblGrid>
      <w:tr>
        <w:trPr/>
        <w:tc>
          <w:tcPr>
            <w:tcW w:w="264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246"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37" descr=""/>
                          <pic:cNvPicPr>
                            <a:picLocks noChangeAspect="1" noChangeArrowheads="1"/>
                          </pic:cNvPicPr>
                        </pic:nvPicPr>
                        <pic:blipFill>
                          <a:blip r:embed="rId239"/>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76"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B-1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rFonts w:ascii="Montserrat;sans-serif" w:hAnsi="Montserrat;sans-serif"/>
          <w:color w:val="000000"/>
          <w:sz w:val="13"/>
        </w:rPr>
      </w:pPr>
      <w:r>
        <w:rPr>
          <w:rFonts w:ascii="Montserrat;sans-serif" w:hAnsi="Montserrat;sans-serif"/>
          <w:color w:val="000000"/>
          <w:sz w:val="13"/>
        </w:rPr>
        <w:t>Appendix B</w:t>
        <w:br/>
        <w:t>Amended and Restated 2016 Equity Incentive Plan</w:t>
      </w:r>
    </w:p>
    <w:p>
      <w:pPr>
        <w:pStyle w:val="TextBody"/>
        <w:bidi w:val="0"/>
        <w:jc w:val="left"/>
        <w:rPr/>
      </w:pPr>
      <w:r>
        <w:rPr/>
        <w:t> </w:t>
      </w:r>
    </w:p>
    <w:p>
      <w:pPr>
        <w:pStyle w:val="TextBody"/>
        <w:bidi w:val="0"/>
        <w:jc w:val="left"/>
        <w:rPr/>
      </w:pPr>
      <w:r>
        <w:rPr/>
        <w:t> </w:t>
      </w:r>
    </w:p>
    <w:p>
      <w:pPr>
        <w:pStyle w:val="TextBody"/>
        <w:bidi w:val="0"/>
        <w:spacing w:before="120" w:after="283"/>
        <w:ind w:left="0" w:right="0" w:firstLine="1440"/>
        <w:jc w:val="both"/>
        <w:rPr>
          <w:rFonts w:ascii="Montserrat;sans-serif" w:hAnsi="Montserrat;sans-serif"/>
          <w:color w:val="000000"/>
          <w:sz w:val="18"/>
        </w:rPr>
      </w:pPr>
      <w:r>
        <w:rPr>
          <w:rFonts w:ascii="Montserrat;sans-serif" w:hAnsi="Montserrat;sans-serif"/>
          <w:color w:val="000000"/>
          <w:sz w:val="18"/>
        </w:rPr>
        <w:t xml:space="preserve">(iii) a Participant’s unauthorized use or disclosure of any proprietary information or trade secrets of the Company or any other party to whom the Participant owes an obligation of nondisclosure as a result of his or her relationship with the Company; or </w:t>
      </w:r>
    </w:p>
    <w:p>
      <w:pPr>
        <w:pStyle w:val="TextBody"/>
        <w:bidi w:val="0"/>
        <w:spacing w:before="120" w:after="283"/>
        <w:ind w:left="0" w:right="0" w:firstLine="1440"/>
        <w:jc w:val="both"/>
        <w:rPr>
          <w:rFonts w:ascii="Montserrat;sans-serif" w:hAnsi="Montserrat;sans-serif"/>
          <w:color w:val="000000"/>
          <w:sz w:val="18"/>
        </w:rPr>
      </w:pPr>
      <w:r>
        <w:rPr>
          <w:rFonts w:ascii="Montserrat;sans-serif" w:hAnsi="Montserrat;sans-serif"/>
          <w:color w:val="000000"/>
          <w:sz w:val="18"/>
        </w:rPr>
        <w:t xml:space="preserve">(iv) a Participant’s material breach of any of his or her obligations under any written agreement or covenant with the Company. </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With respect to each of the foregoing (i) through (iv), where the facts giving rise to Cause are capable of being remedied, the Company will provide written notice to the Participant of the facts giving rise to Cause and provide a Participant with thirty (30) calendar days within which to reasonably remedy such facts. The determination as to whether a Participant’s employment has been terminated for Cause shall be made in good faith by the Company and shall be final and binding on the Participant. The foregoing definition does not in any way limit the Company’s ability to terminate a Participant’s employment relationship at any time, and the term “Company” will be interpreted to include any subsidiary, parent, affiliate, or any successor thereto, if appropriate.</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(i) “</w:t>
      </w:r>
      <w:r>
        <w:rPr>
          <w:rFonts w:ascii="Montserrat;sans-serif" w:hAnsi="Montserrat;sans-serif"/>
          <w:color w:val="000000"/>
          <w:sz w:val="18"/>
          <w:u w:val="single"/>
        </w:rPr>
        <w:t>Change in Control</w:t>
      </w:r>
      <w:r>
        <w:rPr>
          <w:rFonts w:ascii="Montserrat;sans-serif" w:hAnsi="Montserrat;sans-serif"/>
          <w:color w:val="000000"/>
          <w:sz w:val="18"/>
        </w:rPr>
        <w:t>” means the occurrence of any of the following events:</w:t>
      </w:r>
    </w:p>
    <w:p>
      <w:pPr>
        <w:pStyle w:val="TextBody"/>
        <w:bidi w:val="0"/>
        <w:spacing w:before="120" w:after="283"/>
        <w:ind w:left="0" w:right="0" w:firstLine="1440"/>
        <w:jc w:val="both"/>
        <w:rPr>
          <w:rFonts w:ascii="Montserrat;sans-serif" w:hAnsi="Montserrat;sans-serif"/>
          <w:sz w:val="18"/>
        </w:rPr>
      </w:pPr>
      <w:r>
        <w:rPr>
          <w:rFonts w:ascii="Montserrat;sans-serif" w:hAnsi="Montserrat;sans-serif"/>
          <w:color w:val="000000"/>
          <w:sz w:val="18"/>
        </w:rPr>
        <w:t>(i) A change in the ownership of the Company which occurs on the date that any one person, or more than one person acting as a group (“</w:t>
      </w:r>
      <w:r>
        <w:rPr>
          <w:rFonts w:ascii="Montserrat;sans-serif" w:hAnsi="Montserrat;sans-serif"/>
          <w:color w:val="000000"/>
          <w:sz w:val="18"/>
          <w:u w:val="single"/>
        </w:rPr>
        <w:t>Person</w:t>
      </w:r>
      <w:r>
        <w:rPr>
          <w:rFonts w:ascii="Montserrat;sans-serif" w:hAnsi="Montserrat;sans-serif"/>
          <w:color w:val="000000"/>
          <w:sz w:val="18"/>
        </w:rPr>
        <w:t xml:space="preserve">”),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subsection (i).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 </w:t>
      </w:r>
    </w:p>
    <w:p>
      <w:pPr>
        <w:pStyle w:val="TextBody"/>
        <w:bidi w:val="0"/>
        <w:spacing w:before="120" w:after="283"/>
        <w:ind w:left="0" w:right="0" w:firstLine="1440"/>
        <w:jc w:val="both"/>
        <w:rPr>
          <w:rFonts w:ascii="Montserrat;sans-serif" w:hAnsi="Montserrat;sans-serif"/>
          <w:color w:val="000000"/>
          <w:sz w:val="18"/>
        </w:rPr>
      </w:pPr>
      <w:r>
        <w:rPr>
          <w:rFonts w:ascii="Montserrat;sans-serif" w:hAnsi="Montserrat;sans-serif"/>
          <w:color w:val="000000"/>
          <w:sz w:val="18"/>
        </w:rPr>
        <w:t>(ii)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pStyle w:val="TextBody"/>
        <w:bidi w:val="0"/>
        <w:spacing w:before="120" w:after="283"/>
        <w:ind w:left="0" w:right="0" w:firstLine="1440"/>
        <w:jc w:val="both"/>
        <w:rPr>
          <w:rFonts w:ascii="Montserrat;sans-serif" w:hAnsi="Montserrat;sans-serif"/>
          <w:color w:val="000000"/>
          <w:sz w:val="18"/>
        </w:rPr>
      </w:pPr>
      <w:r>
        <w:rPr>
          <w:rFonts w:ascii="Montserrat;sans-serif" w:hAnsi="Montserrat;sans-serif"/>
          <w:color w:val="000000"/>
          <w:sz w:val="18"/>
        </w:rPr>
        <w:t>(iii)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For purposes of this definition, persons will be considered to be acting as a group if they are owners of a corporation that enters into a merger, consolidation, purchase or acquisition of stock, or similar business transaction with the Company.</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 xml:space="preserve">Further and for the avoidance of doubt, a transaction will not constitute a Change in Control if: (i) its primary purpose is to change the jurisdiction of the Company’s incorporation, or (ii) its primary purpose is to create a holding company that </w:t>
      </w:r>
    </w:p>
    <w:p>
      <w:pPr>
        <w:pStyle w:val="TextBody"/>
        <w:bidi w:val="0"/>
        <w:jc w:val="both"/>
        <w:rPr/>
      </w:pPr>
      <w:r>
        <w:rPr/>
        <w:t> </w:t>
      </w:r>
    </w:p>
    <w:tbl>
      <w:tblPr>
        <w:tblW w:w="3017" w:type="dxa"/>
        <w:jc w:val="left"/>
        <w:tblInd w:w="0" w:type="dxa"/>
        <w:tblLayout w:type="fixed"/>
        <w:tblCellMar>
          <w:top w:w="28" w:type="dxa"/>
          <w:left w:w="28" w:type="dxa"/>
          <w:bottom w:w="28" w:type="dxa"/>
          <w:right w:w="28" w:type="dxa"/>
        </w:tblCellMar>
      </w:tblPr>
      <w:tblGrid>
        <w:gridCol w:w="346"/>
        <w:gridCol w:w="2671"/>
      </w:tblGrid>
      <w:tr>
        <w:trPr/>
        <w:tc>
          <w:tcPr>
            <w:tcW w:w="346"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4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B-2</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247"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238" descr=""/>
                          <pic:cNvPicPr>
                            <a:picLocks noChangeAspect="1" noChangeArrowheads="1"/>
                          </pic:cNvPicPr>
                        </pic:nvPicPr>
                        <pic:blipFill>
                          <a:blip r:embed="rId240"/>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rFonts w:ascii="Montserrat;sans-serif" w:hAnsi="Montserrat;sans-serif"/>
          <w:color w:val="000000"/>
          <w:sz w:val="13"/>
        </w:rPr>
      </w:pPr>
      <w:r>
        <w:rPr>
          <w:rFonts w:ascii="Montserrat;sans-serif" w:hAnsi="Montserrat;sans-serif"/>
          <w:color w:val="000000"/>
          <w:sz w:val="13"/>
        </w:rPr>
        <w:t>Appendix B</w:t>
        <w:br/>
        <w:t>Amended and Restated 2016 Equity Incentive Plan</w:t>
      </w:r>
    </w:p>
    <w:p>
      <w:pPr>
        <w:pStyle w:val="TextBody"/>
        <w:bidi w:val="0"/>
        <w:jc w:val="right"/>
        <w:rPr/>
      </w:pPr>
      <w:r>
        <w:rPr/>
        <w:t> </w:t>
      </w:r>
    </w:p>
    <w:p>
      <w:pPr>
        <w:pStyle w:val="TextBody"/>
        <w:bidi w:val="0"/>
        <w:jc w:val="right"/>
        <w:rPr/>
      </w:pPr>
      <w:r>
        <w:rPr/>
        <w:t> </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will be owned in substantially the same proportions by the persons who held the Company’s securities immediately before such transaction.</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(j) “</w:t>
      </w:r>
      <w:r>
        <w:rPr>
          <w:rFonts w:ascii="Montserrat;sans-serif" w:hAnsi="Montserrat;sans-serif"/>
          <w:color w:val="000000"/>
          <w:sz w:val="18"/>
          <w:u w:val="single"/>
        </w:rPr>
        <w:t>Code</w:t>
      </w:r>
      <w:r>
        <w:rPr>
          <w:rFonts w:ascii="Montserrat;sans-serif" w:hAnsi="Montserrat;sans-serif"/>
          <w:color w:val="000000"/>
          <w:sz w:val="18"/>
        </w:rPr>
        <w:t>” means the U.S. Internal Revenue Code of 1986, as amended. Reference to a specific section of the Code or regulation thereunder shall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(k) “</w:t>
      </w:r>
      <w:r>
        <w:rPr>
          <w:rFonts w:ascii="Montserrat;sans-serif" w:hAnsi="Montserrat;sans-serif"/>
          <w:color w:val="000000"/>
          <w:sz w:val="18"/>
          <w:u w:val="single"/>
        </w:rPr>
        <w:t>Committee</w:t>
      </w:r>
      <w:r>
        <w:rPr>
          <w:rFonts w:ascii="Montserrat;sans-serif" w:hAnsi="Montserrat;sans-serif"/>
          <w:color w:val="000000"/>
          <w:sz w:val="18"/>
        </w:rPr>
        <w:t>” means a committee of Directors or of other individuals satisfying Applicable Laws appointed by the Board, or a duly authorized committee of the Board, in accordance with Section 4 hereof.</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(l) “</w:t>
      </w:r>
      <w:r>
        <w:rPr>
          <w:rFonts w:ascii="Montserrat;sans-serif" w:hAnsi="Montserrat;sans-serif"/>
          <w:color w:val="000000"/>
          <w:sz w:val="18"/>
          <w:u w:val="single"/>
        </w:rPr>
        <w:t>Common Stock</w:t>
      </w:r>
      <w:r>
        <w:rPr>
          <w:rFonts w:ascii="Montserrat;sans-serif" w:hAnsi="Montserrat;sans-serif"/>
          <w:color w:val="000000"/>
          <w:sz w:val="18"/>
        </w:rPr>
        <w:t>” means the Class A common stock of the Company.</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(m) “</w:t>
      </w:r>
      <w:r>
        <w:rPr>
          <w:rFonts w:ascii="Montserrat;sans-serif" w:hAnsi="Montserrat;sans-serif"/>
          <w:color w:val="000000"/>
          <w:sz w:val="18"/>
          <w:u w:val="single"/>
        </w:rPr>
        <w:t>Company</w:t>
      </w:r>
      <w:r>
        <w:rPr>
          <w:rFonts w:ascii="Montserrat;sans-serif" w:hAnsi="Montserrat;sans-serif"/>
          <w:color w:val="000000"/>
          <w:sz w:val="18"/>
        </w:rPr>
        <w:t>” means Nutanix, Inc., a Delaware corporation, or any successor thereto.</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(n) “</w:t>
      </w:r>
      <w:r>
        <w:rPr>
          <w:rFonts w:ascii="Montserrat;sans-serif" w:hAnsi="Montserrat;sans-serif"/>
          <w:color w:val="000000"/>
          <w:sz w:val="18"/>
          <w:u w:val="single"/>
        </w:rPr>
        <w:t>Consultant</w:t>
      </w:r>
      <w:r>
        <w:rPr>
          <w:rFonts w:ascii="Montserrat;sans-serif" w:hAnsi="Montserrat;sans-serif"/>
          <w:color w:val="000000"/>
          <w:sz w:val="18"/>
        </w:rPr>
        <w:t>” means any natural person, including an advisor, engaged by the Company or a Parent, Subsidiary or Affiliate to render bona fide services to such entity, provided the services (i) are not in connection with the offer or sale of securities in a capital</w:t>
        <w:noBreakHyphen/>
        <w:t>raising transaction, and (ii)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(o) “</w:t>
      </w:r>
      <w:r>
        <w:rPr>
          <w:rFonts w:ascii="Montserrat;sans-serif" w:hAnsi="Montserrat;sans-serif"/>
          <w:color w:val="000000"/>
          <w:sz w:val="18"/>
          <w:u w:val="single"/>
        </w:rPr>
        <w:t>Director</w:t>
      </w:r>
      <w:r>
        <w:rPr>
          <w:rFonts w:ascii="Montserrat;sans-serif" w:hAnsi="Montserrat;sans-serif"/>
          <w:color w:val="000000"/>
          <w:sz w:val="18"/>
        </w:rPr>
        <w:t>” means a member of the Board.</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(p) “</w:t>
      </w:r>
      <w:r>
        <w:rPr>
          <w:rFonts w:ascii="Montserrat;sans-serif" w:hAnsi="Montserrat;sans-serif"/>
          <w:color w:val="000000"/>
          <w:sz w:val="18"/>
          <w:u w:val="single"/>
        </w:rPr>
        <w:t>Disability</w:t>
      </w:r>
      <w:r>
        <w:rPr>
          <w:rFonts w:ascii="Montserrat;sans-serif" w:hAnsi="Montserrat;sans-serif"/>
          <w:color w:val="000000"/>
          <w:sz w:val="18"/>
        </w:rPr>
        <w:t xml:space="preserve">”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 </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(q) “</w:t>
      </w:r>
      <w:r>
        <w:rPr>
          <w:rFonts w:ascii="Montserrat;sans-serif" w:hAnsi="Montserrat;sans-serif"/>
          <w:color w:val="000000"/>
          <w:sz w:val="18"/>
          <w:u w:val="single"/>
        </w:rPr>
        <w:t>Employee</w:t>
      </w:r>
      <w:r>
        <w:rPr>
          <w:rFonts w:ascii="Montserrat;sans-serif" w:hAnsi="Montserrat;sans-serif"/>
          <w:color w:val="000000"/>
          <w:sz w:val="18"/>
        </w:rPr>
        <w:t>” means any person, including Officers and Directors, providing services as an employee of the Company or any Parent, Subsidiary or Affiliate of the Company. Neither service as a Director nor payment of a director’s fee by the Company will be sufficient to constitute “employment” by the Company.</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(r) “</w:t>
      </w:r>
      <w:r>
        <w:rPr>
          <w:rFonts w:ascii="Montserrat;sans-serif" w:hAnsi="Montserrat;sans-serif"/>
          <w:color w:val="000000"/>
          <w:sz w:val="18"/>
          <w:u w:val="single"/>
        </w:rPr>
        <w:t>Exchange Act</w:t>
      </w:r>
      <w:r>
        <w:rPr>
          <w:rFonts w:ascii="Montserrat;sans-serif" w:hAnsi="Montserrat;sans-serif"/>
          <w:color w:val="000000"/>
          <w:sz w:val="18"/>
        </w:rPr>
        <w:t>” means the Securities Exchange Act of 1934, as amended, including the rules and regulations promulgated thereunder.</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(s) “</w:t>
      </w:r>
      <w:r>
        <w:rPr>
          <w:rFonts w:ascii="Montserrat;sans-serif" w:hAnsi="Montserrat;sans-serif"/>
          <w:color w:val="000000"/>
          <w:sz w:val="18"/>
          <w:u w:val="single"/>
        </w:rPr>
        <w:t>Exchange Program</w:t>
      </w:r>
      <w:r>
        <w:rPr>
          <w:rFonts w:ascii="Montserrat;sans-serif" w:hAnsi="Montserrat;sans-serif"/>
          <w:color w:val="000000"/>
          <w:sz w:val="18"/>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 may not institute an Exchange Program without stockholder approval.</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(t) “</w:t>
      </w:r>
      <w:r>
        <w:rPr>
          <w:rFonts w:ascii="Montserrat;sans-serif" w:hAnsi="Montserrat;sans-serif"/>
          <w:color w:val="000000"/>
          <w:sz w:val="18"/>
          <w:u w:val="single"/>
        </w:rPr>
        <w:t>Fair Market Value</w:t>
      </w:r>
      <w:r>
        <w:rPr>
          <w:rFonts w:ascii="Montserrat;sans-serif" w:hAnsi="Montserrat;sans-serif"/>
          <w:color w:val="000000"/>
          <w:sz w:val="18"/>
        </w:rPr>
        <w:t>” means, as of any date, the value of Common Stock determined as follows:</w:t>
      </w:r>
    </w:p>
    <w:p>
      <w:pPr>
        <w:pStyle w:val="TextBody"/>
        <w:bidi w:val="0"/>
        <w:spacing w:before="120" w:after="283"/>
        <w:ind w:left="0" w:right="0" w:firstLine="1440"/>
        <w:jc w:val="both"/>
        <w:rPr>
          <w:rFonts w:ascii="Montserrat;sans-serif" w:hAnsi="Montserrat;sans-serif"/>
          <w:sz w:val="18"/>
        </w:rPr>
      </w:pPr>
      <w:r>
        <w:rPr>
          <w:rFonts w:ascii="Montserrat;sans-serif" w:hAnsi="Montserrat;sans-serif"/>
          <w:color w:val="000000"/>
          <w:sz w:val="18"/>
        </w:rPr>
        <w:t xml:space="preserve">(i) If the Common Stock is listed on any established stock exchange or a national market system, including without limitation the New York Stock Exchange,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Montserrat;sans-serif" w:hAnsi="Montserrat;sans-serif"/>
          <w:i/>
          <w:color w:val="000000"/>
          <w:sz w:val="18"/>
        </w:rPr>
        <w:t>The Wall Street Journal</w:t>
      </w:r>
      <w:r>
        <w:rPr>
          <w:rFonts w:ascii="Montserrat;sans-serif" w:hAnsi="Montserrat;sans-serif"/>
          <w:color w:val="000000"/>
          <w:sz w:val="18"/>
        </w:rPr>
        <w:t xml:space="preserve"> or such other source as the Administrator deems reliable;</w:t>
      </w:r>
    </w:p>
    <w:p>
      <w:pPr>
        <w:pStyle w:val="TextBody"/>
        <w:bidi w:val="0"/>
        <w:spacing w:before="120" w:after="283"/>
        <w:ind w:left="0" w:right="0" w:firstLine="1440"/>
        <w:jc w:val="both"/>
        <w:rPr>
          <w:rFonts w:ascii="Montserrat;sans-serif" w:hAnsi="Montserrat;sans-serif"/>
          <w:sz w:val="18"/>
        </w:rPr>
      </w:pPr>
      <w:r>
        <w:rPr>
          <w:rFonts w:ascii="Montserrat;sans-serif" w:hAnsi="Montserrat;sans-serif"/>
          <w:color w:val="000000"/>
          <w:sz w:val="18"/>
        </w:rPr>
        <w:t xml:space="preserve">(ii) 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date such bids and asks were reported), as reported in </w:t>
      </w:r>
      <w:r>
        <w:rPr>
          <w:rFonts w:ascii="Montserrat;sans-serif" w:hAnsi="Montserrat;sans-serif"/>
          <w:i/>
          <w:color w:val="000000"/>
          <w:sz w:val="18"/>
        </w:rPr>
        <w:t>The Wall Street Journal</w:t>
      </w:r>
      <w:r>
        <w:rPr>
          <w:rFonts w:ascii="Montserrat;sans-serif" w:hAnsi="Montserrat;sans-serif"/>
          <w:color w:val="000000"/>
          <w:sz w:val="18"/>
        </w:rPr>
        <w:t xml:space="preserve"> or such other source as the Administrator deems reliable; or</w:t>
      </w:r>
    </w:p>
    <w:p>
      <w:pPr>
        <w:pStyle w:val="TextBody"/>
        <w:bidi w:val="0"/>
        <w:spacing w:before="120" w:after="283"/>
        <w:ind w:left="0" w:right="0" w:firstLine="1440"/>
        <w:jc w:val="both"/>
        <w:rPr>
          <w:rFonts w:ascii="Montserrat;sans-serif" w:hAnsi="Montserrat;sans-serif"/>
          <w:color w:val="000000"/>
          <w:sz w:val="18"/>
        </w:rPr>
      </w:pPr>
      <w:r>
        <w:rPr>
          <w:rFonts w:ascii="Montserrat;sans-serif" w:hAnsi="Montserrat;sans-serif"/>
          <w:color w:val="000000"/>
          <w:sz w:val="18"/>
        </w:rPr>
        <w:t>(iii) In the absence of an established market for the Common Stock, the Fair Market Value will be determined in good faith by the Administrator.</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In addition, for purposes of determining the fair market value of Shares for any reason other than the determination of the exercise price of Options or Stock Appreciation Rights, fair market value will be determined by the Administrator in a manner compliant with Applicable Laws and applied consistently for such purpose. The determination of fair market value for purposes of tax withholding may be made in the Administrator’s discretion subject to Applicable Laws and is not required to be consistent with the determination of Fair Market Value for other purposes.</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(u) “</w:t>
      </w:r>
      <w:r>
        <w:rPr>
          <w:rFonts w:ascii="Montserrat;sans-serif" w:hAnsi="Montserrat;sans-serif"/>
          <w:color w:val="000000"/>
          <w:sz w:val="18"/>
          <w:u w:val="single"/>
        </w:rPr>
        <w:t>Fiscal Year</w:t>
      </w:r>
      <w:r>
        <w:rPr>
          <w:rFonts w:ascii="Montserrat;sans-serif" w:hAnsi="Montserrat;sans-serif"/>
          <w:color w:val="000000"/>
          <w:sz w:val="18"/>
        </w:rPr>
        <w:t>” means the fiscal year of the Company.</w:t>
      </w:r>
    </w:p>
    <w:p>
      <w:pPr>
        <w:pStyle w:val="TextBody"/>
        <w:bidi w:val="0"/>
        <w:jc w:val="both"/>
        <w:rPr/>
      </w:pPr>
      <w:r>
        <w:rPr/>
        <w:t> </w:t>
      </w:r>
    </w:p>
    <w:tbl>
      <w:tblPr>
        <w:tblW w:w="3017" w:type="dxa"/>
        <w:jc w:val="left"/>
        <w:tblInd w:w="0" w:type="dxa"/>
        <w:tblLayout w:type="fixed"/>
        <w:tblCellMar>
          <w:top w:w="28" w:type="dxa"/>
          <w:left w:w="28" w:type="dxa"/>
          <w:bottom w:w="28" w:type="dxa"/>
          <w:right w:w="28" w:type="dxa"/>
        </w:tblCellMar>
      </w:tblPr>
      <w:tblGrid>
        <w:gridCol w:w="2641"/>
        <w:gridCol w:w="376"/>
      </w:tblGrid>
      <w:tr>
        <w:trPr/>
        <w:tc>
          <w:tcPr>
            <w:tcW w:w="264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248"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39" descr=""/>
                          <pic:cNvPicPr>
                            <a:picLocks noChangeAspect="1" noChangeArrowheads="1"/>
                          </pic:cNvPicPr>
                        </pic:nvPicPr>
                        <pic:blipFill>
                          <a:blip r:embed="rId241"/>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76"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B-3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rFonts w:ascii="Montserrat;sans-serif" w:hAnsi="Montserrat;sans-serif"/>
          <w:color w:val="000000"/>
          <w:sz w:val="13"/>
        </w:rPr>
      </w:pPr>
      <w:r>
        <w:rPr>
          <w:rFonts w:ascii="Montserrat;sans-serif" w:hAnsi="Montserrat;sans-serif"/>
          <w:color w:val="000000"/>
          <w:sz w:val="13"/>
        </w:rPr>
        <w:t>Appendix B</w:t>
        <w:br/>
        <w:t>Amended and Restated 2016 Equity Incentive Plan</w:t>
      </w:r>
    </w:p>
    <w:p>
      <w:pPr>
        <w:pStyle w:val="TextBody"/>
        <w:bidi w:val="0"/>
        <w:jc w:val="left"/>
        <w:rPr/>
      </w:pPr>
      <w:r>
        <w:rPr/>
        <w:t> </w:t>
      </w:r>
    </w:p>
    <w:p>
      <w:pPr>
        <w:pStyle w:val="TextBody"/>
        <w:bidi w:val="0"/>
        <w:jc w:val="left"/>
        <w:rPr/>
      </w:pPr>
      <w:r>
        <w:rPr/>
        <w:t> </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(v) “</w:t>
      </w:r>
      <w:r>
        <w:rPr>
          <w:rFonts w:ascii="Montserrat;sans-serif" w:hAnsi="Montserrat;sans-serif"/>
          <w:color w:val="000000"/>
          <w:sz w:val="18"/>
          <w:u w:val="single"/>
        </w:rPr>
        <w:t>Incentive Stock Option</w:t>
      </w:r>
      <w:r>
        <w:rPr>
          <w:rFonts w:ascii="Montserrat;sans-serif" w:hAnsi="Montserrat;sans-serif"/>
          <w:color w:val="000000"/>
          <w:sz w:val="18"/>
        </w:rPr>
        <w:t>” means an Option intended to qualify as an incentive stock option within the meaning of Section 422 of the Code and the regulations promulgated thereunder.</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(w) “</w:t>
      </w:r>
      <w:r>
        <w:rPr>
          <w:rFonts w:ascii="Montserrat;sans-serif" w:hAnsi="Montserrat;sans-serif"/>
          <w:color w:val="000000"/>
          <w:sz w:val="18"/>
          <w:u w:val="single"/>
        </w:rPr>
        <w:t>Nonstatutory Stock Option</w:t>
      </w:r>
      <w:r>
        <w:rPr>
          <w:rFonts w:ascii="Montserrat;sans-serif" w:hAnsi="Montserrat;sans-serif"/>
          <w:color w:val="000000"/>
          <w:sz w:val="18"/>
        </w:rPr>
        <w:t>” means an Option that by its terms does not qualify or is not intended to qualify as an Incentive Stock Option.</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(x) “</w:t>
      </w:r>
      <w:r>
        <w:rPr>
          <w:rFonts w:ascii="Montserrat;sans-serif" w:hAnsi="Montserrat;sans-serif"/>
          <w:color w:val="000000"/>
          <w:sz w:val="18"/>
          <w:u w:val="single"/>
        </w:rPr>
        <w:t>Officer</w:t>
      </w:r>
      <w:r>
        <w:rPr>
          <w:rFonts w:ascii="Montserrat;sans-serif" w:hAnsi="Montserrat;sans-serif"/>
          <w:color w:val="000000"/>
          <w:sz w:val="18"/>
        </w:rPr>
        <w:t>” means a person who is an officer of the Company within the meaning of Section 16 of the Exchange Act and the rules and regulations promulgated thereunder.</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(y) “</w:t>
      </w:r>
      <w:r>
        <w:rPr>
          <w:rFonts w:ascii="Montserrat;sans-serif" w:hAnsi="Montserrat;sans-serif"/>
          <w:color w:val="000000"/>
          <w:sz w:val="18"/>
          <w:u w:val="single"/>
        </w:rPr>
        <w:t>Option</w:t>
      </w:r>
      <w:r>
        <w:rPr>
          <w:rFonts w:ascii="Montserrat;sans-serif" w:hAnsi="Montserrat;sans-serif"/>
          <w:color w:val="000000"/>
          <w:sz w:val="18"/>
        </w:rPr>
        <w:t>” means a stock option granted pursuant to the Plan.</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(z) “</w:t>
      </w:r>
      <w:r>
        <w:rPr>
          <w:rFonts w:ascii="Montserrat;sans-serif" w:hAnsi="Montserrat;sans-serif"/>
          <w:color w:val="000000"/>
          <w:sz w:val="18"/>
          <w:u w:val="single"/>
        </w:rPr>
        <w:t>Outside Director</w:t>
      </w:r>
      <w:r>
        <w:rPr>
          <w:rFonts w:ascii="Montserrat;sans-serif" w:hAnsi="Montserrat;sans-serif"/>
          <w:color w:val="000000"/>
          <w:sz w:val="18"/>
        </w:rPr>
        <w:t>” means a Director who is not an Employee.</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(aa) “</w:t>
      </w:r>
      <w:r>
        <w:rPr>
          <w:rFonts w:ascii="Montserrat;sans-serif" w:hAnsi="Montserrat;sans-serif"/>
          <w:color w:val="000000"/>
          <w:sz w:val="18"/>
          <w:u w:val="single"/>
        </w:rPr>
        <w:t>Parent</w:t>
      </w:r>
      <w:r>
        <w:rPr>
          <w:rFonts w:ascii="Montserrat;sans-serif" w:hAnsi="Montserrat;sans-serif"/>
          <w:color w:val="000000"/>
          <w:sz w:val="18"/>
        </w:rPr>
        <w:t>” means a “parent corporation,” whether now or hereafter existing, as defined in Section 424(e) of the Code in relation to the Company.</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(bb) “</w:t>
      </w:r>
      <w:r>
        <w:rPr>
          <w:rFonts w:ascii="Montserrat;sans-serif" w:hAnsi="Montserrat;sans-serif"/>
          <w:color w:val="000000"/>
          <w:sz w:val="18"/>
          <w:u w:val="single"/>
        </w:rPr>
        <w:t>Participant</w:t>
      </w:r>
      <w:r>
        <w:rPr>
          <w:rFonts w:ascii="Montserrat;sans-serif" w:hAnsi="Montserrat;sans-serif"/>
          <w:color w:val="000000"/>
          <w:sz w:val="18"/>
        </w:rPr>
        <w:t>” means the holder of an outstanding Award.</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(cc) “</w:t>
      </w:r>
      <w:r>
        <w:rPr>
          <w:rFonts w:ascii="Montserrat;sans-serif" w:hAnsi="Montserrat;sans-serif"/>
          <w:color w:val="000000"/>
          <w:sz w:val="18"/>
          <w:u w:val="single"/>
        </w:rPr>
        <w:t>Performance Share</w:t>
      </w:r>
      <w:r>
        <w:rPr>
          <w:rFonts w:ascii="Montserrat;sans-serif" w:hAnsi="Montserrat;sans-serif"/>
          <w:color w:val="000000"/>
          <w:sz w:val="18"/>
        </w:rPr>
        <w:t>” means an Award denominated in Shares which may be earned in whole or in part upon attainment of performance goals or other vesting criteria as the Administrator may determine pursuant to Section 10.</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(dd) “</w:t>
      </w:r>
      <w:r>
        <w:rPr>
          <w:rFonts w:ascii="Montserrat;sans-serif" w:hAnsi="Montserrat;sans-serif"/>
          <w:color w:val="000000"/>
          <w:sz w:val="18"/>
          <w:u w:val="single"/>
        </w:rPr>
        <w:t>Performance Unit</w:t>
      </w:r>
      <w:r>
        <w:rPr>
          <w:rFonts w:ascii="Montserrat;sans-serif" w:hAnsi="Montserrat;sans-serif"/>
          <w:color w:val="000000"/>
          <w:sz w:val="18"/>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(ee) “</w:t>
      </w:r>
      <w:r>
        <w:rPr>
          <w:rFonts w:ascii="Montserrat;sans-serif" w:hAnsi="Montserrat;sans-serif"/>
          <w:color w:val="000000"/>
          <w:sz w:val="18"/>
          <w:u w:val="single"/>
        </w:rPr>
        <w:t>Period of Restriction</w:t>
      </w:r>
      <w:r>
        <w:rPr>
          <w:rFonts w:ascii="Montserrat;sans-serif" w:hAnsi="Montserrat;sans-serif"/>
          <w:color w:val="000000"/>
          <w:sz w:val="18"/>
        </w:rPr>
        <w:t>” means the period (if any)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(ff) “</w:t>
      </w:r>
      <w:r>
        <w:rPr>
          <w:rFonts w:ascii="Montserrat;sans-serif" w:hAnsi="Montserrat;sans-serif"/>
          <w:color w:val="000000"/>
          <w:sz w:val="18"/>
          <w:u w:val="single"/>
        </w:rPr>
        <w:t>Plan</w:t>
      </w:r>
      <w:r>
        <w:rPr>
          <w:rFonts w:ascii="Montserrat;sans-serif" w:hAnsi="Montserrat;sans-serif"/>
          <w:color w:val="000000"/>
          <w:sz w:val="18"/>
        </w:rPr>
        <w:t>” means this Nutanix, Inc. Amended and Restated 2016 Equity Incentive Plan, as amended effective as of the Amendment Date.</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(gg) “</w:t>
      </w:r>
      <w:r>
        <w:rPr>
          <w:rFonts w:ascii="Montserrat;sans-serif" w:hAnsi="Montserrat;sans-serif"/>
          <w:color w:val="000000"/>
          <w:sz w:val="18"/>
          <w:u w:val="single"/>
        </w:rPr>
        <w:t>Restricted Stock</w:t>
      </w:r>
      <w:r>
        <w:rPr>
          <w:rFonts w:ascii="Montserrat;sans-serif" w:hAnsi="Montserrat;sans-serif"/>
          <w:color w:val="000000"/>
          <w:sz w:val="18"/>
        </w:rPr>
        <w:t>” means Shares issued pursuant to a Restricted Stock award under Section 7 of the Plan, or issued pursuant to the early exercise of an Option.</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(hh) “</w:t>
      </w:r>
      <w:r>
        <w:rPr>
          <w:rFonts w:ascii="Montserrat;sans-serif" w:hAnsi="Montserrat;sans-serif"/>
          <w:color w:val="000000"/>
          <w:sz w:val="18"/>
          <w:u w:val="single"/>
        </w:rPr>
        <w:t>Restricted Stock Unit</w:t>
      </w:r>
      <w:r>
        <w:rPr>
          <w:rFonts w:ascii="Montserrat;sans-serif" w:hAnsi="Montserrat;sans-serif"/>
          <w:color w:val="000000"/>
          <w:sz w:val="18"/>
        </w:rPr>
        <w:t>” means a bookkeeping entry representing an amount equal to the Fair Market Value of one Share, granted pursuant to Section 8. Each Restricted Stock Unit represents an unfunded and unsecured obligation of the Company.</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(ii) “</w:t>
      </w:r>
      <w:r>
        <w:rPr>
          <w:rFonts w:ascii="Montserrat;sans-serif" w:hAnsi="Montserrat;sans-serif"/>
          <w:color w:val="000000"/>
          <w:sz w:val="18"/>
          <w:u w:val="single"/>
        </w:rPr>
        <w:t>Rule 16b-3</w:t>
      </w:r>
      <w:r>
        <w:rPr>
          <w:rFonts w:ascii="Montserrat;sans-serif" w:hAnsi="Montserrat;sans-serif"/>
          <w:color w:val="000000"/>
          <w:sz w:val="18"/>
        </w:rPr>
        <w:t>” means Rule 16b-3 of the Exchange Act or any successor to Rule 16b-3, as in effect when discretion is being exercised with respect to the Plan.</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(jj) “</w:t>
      </w:r>
      <w:r>
        <w:rPr>
          <w:rFonts w:ascii="Montserrat;sans-serif" w:hAnsi="Montserrat;sans-serif"/>
          <w:color w:val="000000"/>
          <w:sz w:val="18"/>
          <w:u w:val="single"/>
        </w:rPr>
        <w:t>Section 16(b)</w:t>
      </w:r>
      <w:r>
        <w:rPr>
          <w:rFonts w:ascii="Montserrat;sans-serif" w:hAnsi="Montserrat;sans-serif"/>
          <w:color w:val="000000"/>
          <w:sz w:val="18"/>
        </w:rPr>
        <w:t>” means Section 16(b) of the Exchange Act.</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(kk) “</w:t>
      </w:r>
      <w:r>
        <w:rPr>
          <w:rFonts w:ascii="Montserrat;sans-serif" w:hAnsi="Montserrat;sans-serif"/>
          <w:color w:val="000000"/>
          <w:sz w:val="18"/>
          <w:u w:val="single"/>
        </w:rPr>
        <w:t>Securities Act</w:t>
      </w:r>
      <w:r>
        <w:rPr>
          <w:rFonts w:ascii="Montserrat;sans-serif" w:hAnsi="Montserrat;sans-serif"/>
          <w:color w:val="000000"/>
          <w:sz w:val="18"/>
        </w:rPr>
        <w:t>” means the U.S. Securities Act of 1933, as amended, including the rules and regulations promulgated thereunder.</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(ll) “</w:t>
      </w:r>
      <w:r>
        <w:rPr>
          <w:rFonts w:ascii="Montserrat;sans-serif" w:hAnsi="Montserrat;sans-serif"/>
          <w:color w:val="000000"/>
          <w:sz w:val="18"/>
          <w:u w:val="single"/>
        </w:rPr>
        <w:t>Service Provider</w:t>
      </w:r>
      <w:r>
        <w:rPr>
          <w:rFonts w:ascii="Montserrat;sans-serif" w:hAnsi="Montserrat;sans-serif"/>
          <w:color w:val="000000"/>
          <w:sz w:val="18"/>
        </w:rPr>
        <w:t>” means an Employee, Director or Consultant.</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(mm) “</w:t>
      </w:r>
      <w:r>
        <w:rPr>
          <w:rFonts w:ascii="Montserrat;sans-serif" w:hAnsi="Montserrat;sans-serif"/>
          <w:color w:val="000000"/>
          <w:sz w:val="18"/>
          <w:u w:val="single"/>
        </w:rPr>
        <w:t>Share</w:t>
      </w:r>
      <w:r>
        <w:rPr>
          <w:rFonts w:ascii="Montserrat;sans-serif" w:hAnsi="Montserrat;sans-serif"/>
          <w:color w:val="000000"/>
          <w:sz w:val="18"/>
        </w:rPr>
        <w:t>” means a share of the Common Stock, as adjusted in accordance with Section 14 of the Plan.</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(nn) “</w:t>
      </w:r>
      <w:r>
        <w:rPr>
          <w:rFonts w:ascii="Montserrat;sans-serif" w:hAnsi="Montserrat;sans-serif"/>
          <w:color w:val="000000"/>
          <w:sz w:val="18"/>
          <w:u w:val="single"/>
        </w:rPr>
        <w:t>Stock Appreciation Right</w:t>
      </w:r>
      <w:r>
        <w:rPr>
          <w:rFonts w:ascii="Montserrat;sans-serif" w:hAnsi="Montserrat;sans-serif"/>
          <w:color w:val="000000"/>
          <w:sz w:val="18"/>
        </w:rPr>
        <w:t>” means an Award, granted alone or in connection with an Option, that pursuant to Section 9 is designated as a Stock Appreciation Right.</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(oo) “</w:t>
      </w:r>
      <w:r>
        <w:rPr>
          <w:rFonts w:ascii="Montserrat;sans-serif" w:hAnsi="Montserrat;sans-serif"/>
          <w:color w:val="000000"/>
          <w:sz w:val="18"/>
          <w:u w:val="single"/>
        </w:rPr>
        <w:t>Subsidiary</w:t>
      </w:r>
      <w:r>
        <w:rPr>
          <w:rFonts w:ascii="Montserrat;sans-serif" w:hAnsi="Montserrat;sans-serif"/>
          <w:color w:val="000000"/>
          <w:sz w:val="18"/>
        </w:rPr>
        <w:t>” means a “subsidiary corporation,” whether now or hereafter existing, as defined in Section 424(f) of the Code in relation to the Company.</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(pp) “</w:t>
      </w:r>
      <w:r>
        <w:rPr>
          <w:rFonts w:ascii="Montserrat;sans-serif" w:hAnsi="Montserrat;sans-serif"/>
          <w:color w:val="000000"/>
          <w:sz w:val="18"/>
          <w:u w:val="single"/>
        </w:rPr>
        <w:t>Substitute Award</w:t>
      </w:r>
      <w:r>
        <w:rPr>
          <w:rFonts w:ascii="Montserrat;sans-serif" w:hAnsi="Montserrat;sans-serif"/>
          <w:color w:val="000000"/>
          <w:sz w:val="18"/>
        </w:rPr>
        <w:t>” means an Award granted in substitution for an equity award of an acquired entity in connection with a merger, reorganization, separation, or other transaction to which Section 424(a) of the Code applies.</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 xml:space="preserve">3. </w:t>
      </w:r>
      <w:r>
        <w:rPr>
          <w:rFonts w:ascii="Montserrat;sans-serif" w:hAnsi="Montserrat;sans-serif"/>
          <w:color w:val="000000"/>
          <w:sz w:val="18"/>
          <w:u w:val="single"/>
        </w:rPr>
        <w:t>Stock Subject to the Plan</w:t>
      </w:r>
      <w:r>
        <w:rPr>
          <w:rFonts w:ascii="Montserrat;sans-serif" w:hAnsi="Montserrat;sans-serif"/>
          <w:color w:val="000000"/>
          <w:sz w:val="18"/>
        </w:rPr>
        <w:t xml:space="preserve">. </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(a) </w:t>
      </w:r>
      <w:r>
        <w:rPr>
          <w:rFonts w:ascii="Montserrat;sans-serif" w:hAnsi="Montserrat;sans-serif"/>
          <w:color w:val="000000"/>
          <w:sz w:val="18"/>
          <w:u w:val="single"/>
        </w:rPr>
        <w:t>Stock Subject to the Plan</w:t>
      </w:r>
      <w:r>
        <w:rPr>
          <w:rFonts w:ascii="Montserrat;sans-serif" w:hAnsi="Montserrat;sans-serif"/>
          <w:color w:val="000000"/>
          <w:sz w:val="18"/>
        </w:rPr>
        <w:t xml:space="preserve">. Subject to the provisions of Section 14 of the Plan, the maximum aggregate number of Shares that may be issued under the Plan pursuant to Awards granted after the Amendment Date will be (i) 14,493,055 Shares remaining available for grant under the Plan as of October 13, 2026, minus any Shares subject to Awards granted under the Plan after October 13, 2026 and before the Amendment Date, plus (ii) 7,000,000 Shares. In addition, Shares may become available for issuance under the Plan pursuant to Section 3(b). The Shares may be authorized, but </w:t>
      </w:r>
    </w:p>
    <w:p>
      <w:pPr>
        <w:pStyle w:val="TextBody"/>
        <w:bidi w:val="0"/>
        <w:jc w:val="both"/>
        <w:rPr/>
      </w:pPr>
      <w:r>
        <w:rPr/>
        <w:t> </w:t>
      </w:r>
    </w:p>
    <w:tbl>
      <w:tblPr>
        <w:tblW w:w="3017" w:type="dxa"/>
        <w:jc w:val="left"/>
        <w:tblInd w:w="0" w:type="dxa"/>
        <w:tblLayout w:type="fixed"/>
        <w:tblCellMar>
          <w:top w:w="28" w:type="dxa"/>
          <w:left w:w="28" w:type="dxa"/>
          <w:bottom w:w="28" w:type="dxa"/>
          <w:right w:w="28" w:type="dxa"/>
        </w:tblCellMar>
      </w:tblPr>
      <w:tblGrid>
        <w:gridCol w:w="346"/>
        <w:gridCol w:w="2671"/>
      </w:tblGrid>
      <w:tr>
        <w:trPr/>
        <w:tc>
          <w:tcPr>
            <w:tcW w:w="346"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4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B-4</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249"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240" descr=""/>
                          <pic:cNvPicPr>
                            <a:picLocks noChangeAspect="1" noChangeArrowheads="1"/>
                          </pic:cNvPicPr>
                        </pic:nvPicPr>
                        <pic:blipFill>
                          <a:blip r:embed="rId242"/>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rFonts w:ascii="Montserrat;sans-serif" w:hAnsi="Montserrat;sans-serif"/>
          <w:color w:val="000000"/>
          <w:sz w:val="13"/>
        </w:rPr>
      </w:pPr>
      <w:r>
        <w:rPr>
          <w:rFonts w:ascii="Montserrat;sans-serif" w:hAnsi="Montserrat;sans-serif"/>
          <w:color w:val="000000"/>
          <w:sz w:val="13"/>
        </w:rPr>
        <w:t>Appendix B</w:t>
        <w:br/>
        <w:t>Amended and Restated 2016 Equity Incentive Plan</w:t>
      </w:r>
    </w:p>
    <w:p>
      <w:pPr>
        <w:pStyle w:val="TextBody"/>
        <w:bidi w:val="0"/>
        <w:jc w:val="right"/>
        <w:rPr/>
      </w:pPr>
      <w:r>
        <w:rPr/>
        <w:t> </w:t>
      </w:r>
    </w:p>
    <w:p>
      <w:pPr>
        <w:pStyle w:val="TextBody"/>
        <w:bidi w:val="0"/>
        <w:jc w:val="right"/>
        <w:rPr/>
      </w:pPr>
      <w:r>
        <w:rPr/>
        <w:t> </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unissued, or reacquired Common Stock. If the Administrator grants Substitute Awards in substitution for equity awards outstanding under a plan maintained by an entity acquired by or consolidated with the Company, the grant of those Substitute Awards will not decrease the number of Shares available for issuance under the Plan.</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(b) </w:t>
      </w:r>
      <w:r>
        <w:rPr>
          <w:rFonts w:ascii="Montserrat;sans-serif" w:hAnsi="Montserrat;sans-serif"/>
          <w:color w:val="000000"/>
          <w:sz w:val="18"/>
          <w:u w:val="single"/>
        </w:rPr>
        <w:t>Lapsed Awards</w:t>
      </w:r>
      <w:r>
        <w:rPr>
          <w:rFonts w:ascii="Montserrat;sans-serif" w:hAnsi="Montserrat;sans-serif"/>
          <w:color w:val="000000"/>
          <w:sz w:val="18"/>
        </w:rPr>
        <w:t xml:space="preserve">. If an Award expires or becomes unexercisable without having been exercised in full, or, with respect to Restricted Stock, Restricted Stock Units, Performance Units or Performance Shares, is forfeited to or repurchased by the Company due to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the gross number of Shares underlying any portion of a Stock Appreciation Right that is exercised will cease to be available under the Plan. Shares that have actually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due to failure to vest, such Shares will become available for future grant under the Plan. Shares used to pay the exercise price or purchase price of an Award or to satisfy the tax withholding obligations related to an Award will not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14,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pursuant to Section 3(b). </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(c) </w:t>
      </w:r>
      <w:r>
        <w:rPr>
          <w:rFonts w:ascii="Montserrat;sans-serif" w:hAnsi="Montserrat;sans-serif"/>
          <w:color w:val="000000"/>
          <w:sz w:val="18"/>
          <w:u w:val="single"/>
        </w:rPr>
        <w:t>Share Reserve</w:t>
      </w:r>
      <w:r>
        <w:rPr>
          <w:rFonts w:ascii="Montserrat;sans-serif" w:hAnsi="Montserrat;sans-serif"/>
          <w:color w:val="000000"/>
          <w:sz w:val="18"/>
        </w:rPr>
        <w:t>. The Company, during the term of this Plan, will at all times reserve and keep available such number of Shares as will be sufficient to satisfy the requirements of the Plan.</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 xml:space="preserve">4. </w:t>
      </w:r>
      <w:r>
        <w:rPr>
          <w:rFonts w:ascii="Montserrat;sans-serif" w:hAnsi="Montserrat;sans-serif"/>
          <w:color w:val="000000"/>
          <w:sz w:val="18"/>
          <w:u w:val="single"/>
        </w:rPr>
        <w:t>Administration of the Plan</w:t>
      </w:r>
      <w:r>
        <w:rPr>
          <w:rFonts w:ascii="Montserrat;sans-serif" w:hAnsi="Montserrat;sans-serif"/>
          <w:color w:val="000000"/>
          <w:sz w:val="18"/>
        </w:rPr>
        <w:t>.</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(a) </w:t>
      </w:r>
      <w:r>
        <w:rPr>
          <w:rFonts w:ascii="Montserrat;sans-serif" w:hAnsi="Montserrat;sans-serif"/>
          <w:color w:val="000000"/>
          <w:sz w:val="18"/>
          <w:u w:val="single"/>
        </w:rPr>
        <w:t>Procedure</w:t>
      </w:r>
      <w:r>
        <w:rPr>
          <w:rFonts w:ascii="Montserrat;sans-serif" w:hAnsi="Montserrat;sans-serif"/>
          <w:color w:val="000000"/>
          <w:sz w:val="18"/>
        </w:rPr>
        <w:t>.</w:t>
      </w:r>
    </w:p>
    <w:p>
      <w:pPr>
        <w:pStyle w:val="TextBody"/>
        <w:bidi w:val="0"/>
        <w:spacing w:before="120" w:after="283"/>
        <w:ind w:left="0" w:right="0" w:firstLine="1440"/>
        <w:jc w:val="both"/>
        <w:rPr>
          <w:rFonts w:ascii="Montserrat;sans-serif" w:hAnsi="Montserrat;sans-serif"/>
          <w:sz w:val="18"/>
        </w:rPr>
      </w:pPr>
      <w:r>
        <w:rPr>
          <w:rFonts w:ascii="Montserrat;sans-serif" w:hAnsi="Montserrat;sans-serif"/>
          <w:color w:val="000000"/>
          <w:sz w:val="18"/>
        </w:rPr>
        <w:t xml:space="preserve">(i) </w:t>
      </w:r>
      <w:r>
        <w:rPr>
          <w:rFonts w:ascii="Montserrat;sans-serif" w:hAnsi="Montserrat;sans-serif"/>
          <w:color w:val="000000"/>
          <w:sz w:val="18"/>
          <w:u w:val="single"/>
        </w:rPr>
        <w:t>Multiple Administrative Bodies</w:t>
      </w:r>
      <w:r>
        <w:rPr>
          <w:rFonts w:ascii="Montserrat;sans-serif" w:hAnsi="Montserrat;sans-serif"/>
          <w:color w:val="000000"/>
          <w:sz w:val="18"/>
        </w:rPr>
        <w:t>. Different Committees with respect to different groups of Service Providers may administer the Plan.</w:t>
      </w:r>
    </w:p>
    <w:p>
      <w:pPr>
        <w:pStyle w:val="TextBody"/>
        <w:bidi w:val="0"/>
        <w:spacing w:before="120" w:after="283"/>
        <w:ind w:left="0" w:right="0" w:firstLine="1440"/>
        <w:jc w:val="both"/>
        <w:rPr>
          <w:rFonts w:ascii="Montserrat;sans-serif" w:hAnsi="Montserrat;sans-serif"/>
          <w:sz w:val="18"/>
        </w:rPr>
      </w:pPr>
      <w:r>
        <w:rPr>
          <w:rFonts w:ascii="Montserrat;sans-serif" w:hAnsi="Montserrat;sans-serif"/>
          <w:color w:val="000000"/>
          <w:sz w:val="18"/>
        </w:rPr>
        <w:t xml:space="preserve">(ii) </w:t>
      </w:r>
      <w:r>
        <w:rPr>
          <w:rFonts w:ascii="Montserrat;sans-serif" w:hAnsi="Montserrat;sans-serif"/>
          <w:color w:val="000000"/>
          <w:sz w:val="18"/>
          <w:u w:val="single"/>
        </w:rPr>
        <w:t>Rule 16b-3</w:t>
      </w:r>
      <w:r>
        <w:rPr>
          <w:rFonts w:ascii="Montserrat;sans-serif" w:hAnsi="Montserrat;sans-serif"/>
          <w:color w:val="000000"/>
          <w:sz w:val="18"/>
        </w:rPr>
        <w:t>. To the extent desirable to qualify transactions hereunder as exempt under Rule 16b-3, the transactions contemplated hereunder will be structured to satisfy the requirements for exemption under Rule 16b-3.</w:t>
      </w:r>
    </w:p>
    <w:p>
      <w:pPr>
        <w:pStyle w:val="TextBody"/>
        <w:bidi w:val="0"/>
        <w:spacing w:before="120" w:after="283"/>
        <w:ind w:left="0" w:right="0" w:firstLine="1440"/>
        <w:jc w:val="both"/>
        <w:rPr>
          <w:rFonts w:ascii="Montserrat;sans-serif" w:hAnsi="Montserrat;sans-serif"/>
          <w:sz w:val="18"/>
        </w:rPr>
      </w:pPr>
      <w:r>
        <w:rPr>
          <w:rFonts w:ascii="Montserrat;sans-serif" w:hAnsi="Montserrat;sans-serif"/>
          <w:color w:val="000000"/>
          <w:sz w:val="18"/>
        </w:rPr>
        <w:t xml:space="preserve">(iii) </w:t>
      </w:r>
      <w:r>
        <w:rPr>
          <w:rFonts w:ascii="Montserrat;sans-serif" w:hAnsi="Montserrat;sans-serif"/>
          <w:color w:val="000000"/>
          <w:sz w:val="18"/>
          <w:u w:val="single"/>
        </w:rPr>
        <w:t>Other Administration</w:t>
      </w:r>
      <w:r>
        <w:rPr>
          <w:rFonts w:ascii="Montserrat;sans-serif" w:hAnsi="Montserrat;sans-serif"/>
          <w:color w:val="000000"/>
          <w:sz w:val="18"/>
        </w:rPr>
        <w:t xml:space="preserve">. Other than as provided above, the Plan will be administered by (A) the Board or (B) a Committee, which Committee will be constituted to satisfy Applicable Laws. </w:t>
      </w:r>
    </w:p>
    <w:p>
      <w:pPr>
        <w:pStyle w:val="TextBody"/>
        <w:bidi w:val="0"/>
        <w:spacing w:before="120" w:after="283"/>
        <w:ind w:left="0" w:right="0" w:firstLine="1440"/>
        <w:jc w:val="both"/>
        <w:rPr>
          <w:rFonts w:ascii="Montserrat;sans-serif" w:hAnsi="Montserrat;sans-serif"/>
          <w:sz w:val="18"/>
        </w:rPr>
      </w:pPr>
      <w:r>
        <w:rPr>
          <w:rFonts w:ascii="Montserrat;sans-serif" w:hAnsi="Montserrat;sans-serif"/>
          <w:color w:val="000000"/>
          <w:sz w:val="18"/>
        </w:rPr>
        <w:t xml:space="preserve">(iv) </w:t>
      </w:r>
      <w:r>
        <w:rPr>
          <w:rFonts w:ascii="Montserrat;sans-serif" w:hAnsi="Montserrat;sans-serif"/>
          <w:color w:val="000000"/>
          <w:sz w:val="18"/>
          <w:u w:val="single"/>
        </w:rPr>
        <w:t>Delegation of Authority for Day-to-Day Administration</w:t>
      </w:r>
      <w:r>
        <w:rPr>
          <w:rFonts w:ascii="Montserrat;sans-serif" w:hAnsi="Montserrat;sans-serif"/>
          <w:color w:val="000000"/>
          <w:sz w:val="18"/>
        </w:rPr>
        <w:t xml:space="preserve">. Except to the extent prohibited by Applicable Laws, the Administrator may delegate to one or more individuals the day-to-day administration of the Plan and any of the functions assigned to it in this Plan. Any such delegation may be revoked at any time. </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(b) </w:t>
      </w:r>
      <w:r>
        <w:rPr>
          <w:rFonts w:ascii="Montserrat;sans-serif" w:hAnsi="Montserrat;sans-serif"/>
          <w:color w:val="000000"/>
          <w:sz w:val="18"/>
          <w:u w:val="single"/>
        </w:rPr>
        <w:t>Powers of the Administrator</w:t>
      </w:r>
      <w:r>
        <w:rPr>
          <w:rFonts w:ascii="Montserrat;sans-serif" w:hAnsi="Montserrat;sans-serif"/>
          <w:color w:val="000000"/>
          <w:sz w:val="18"/>
        </w:rPr>
        <w:t>. Subject to the provisions of the Plan, and in the case of a Committee, subject to the specific duties delegated by the Board to such Committee, the Administrator will have the authority, in its discretion:</w:t>
      </w:r>
    </w:p>
    <w:p>
      <w:pPr>
        <w:pStyle w:val="TextBody"/>
        <w:bidi w:val="0"/>
        <w:spacing w:before="120" w:after="283"/>
        <w:ind w:left="0" w:right="0" w:firstLine="1440"/>
        <w:jc w:val="both"/>
        <w:rPr>
          <w:rFonts w:ascii="Montserrat;sans-serif" w:hAnsi="Montserrat;sans-serif"/>
          <w:color w:val="000000"/>
          <w:sz w:val="18"/>
        </w:rPr>
      </w:pPr>
      <w:r>
        <w:rPr>
          <w:rFonts w:ascii="Montserrat;sans-serif" w:hAnsi="Montserrat;sans-serif"/>
          <w:color w:val="000000"/>
          <w:sz w:val="18"/>
        </w:rPr>
        <w:t>(i) to determine the Fair Market Value;</w:t>
      </w:r>
    </w:p>
    <w:p>
      <w:pPr>
        <w:pStyle w:val="TextBody"/>
        <w:bidi w:val="0"/>
        <w:spacing w:before="120" w:after="283"/>
        <w:ind w:left="0" w:right="0" w:firstLine="1440"/>
        <w:jc w:val="both"/>
        <w:rPr>
          <w:rFonts w:ascii="Montserrat;sans-serif" w:hAnsi="Montserrat;sans-serif"/>
          <w:color w:val="000000"/>
          <w:sz w:val="18"/>
        </w:rPr>
      </w:pPr>
      <w:r>
        <w:rPr>
          <w:rFonts w:ascii="Montserrat;sans-serif" w:hAnsi="Montserrat;sans-serif"/>
          <w:color w:val="000000"/>
          <w:sz w:val="18"/>
        </w:rPr>
        <w:t>(ii) to select the Service Providers to whom Awards may be granted hereunder;</w:t>
      </w:r>
    </w:p>
    <w:p>
      <w:pPr>
        <w:pStyle w:val="TextBody"/>
        <w:bidi w:val="0"/>
        <w:spacing w:before="120" w:after="283"/>
        <w:ind w:left="0" w:right="0" w:firstLine="1440"/>
        <w:jc w:val="both"/>
        <w:rPr>
          <w:rFonts w:ascii="Montserrat;sans-serif" w:hAnsi="Montserrat;sans-serif"/>
          <w:color w:val="000000"/>
          <w:sz w:val="18"/>
        </w:rPr>
      </w:pPr>
      <w:r>
        <w:rPr>
          <w:rFonts w:ascii="Montserrat;sans-serif" w:hAnsi="Montserrat;sans-serif"/>
          <w:color w:val="000000"/>
          <w:sz w:val="18"/>
        </w:rPr>
        <w:t>(iii) to determine the number of Shares or dollar amounts to be covered by each Award granted hereunder;</w:t>
      </w:r>
    </w:p>
    <w:p>
      <w:pPr>
        <w:pStyle w:val="TextBody"/>
        <w:bidi w:val="0"/>
        <w:spacing w:before="120" w:after="283"/>
        <w:ind w:left="0" w:right="0" w:firstLine="1440"/>
        <w:jc w:val="both"/>
        <w:rPr>
          <w:rFonts w:ascii="Montserrat;sans-serif" w:hAnsi="Montserrat;sans-serif"/>
          <w:color w:val="000000"/>
          <w:sz w:val="18"/>
        </w:rPr>
      </w:pPr>
      <w:r>
        <w:rPr>
          <w:rFonts w:ascii="Montserrat;sans-serif" w:hAnsi="Montserrat;sans-serif"/>
          <w:color w:val="000000"/>
          <w:sz w:val="18"/>
        </w:rPr>
        <w:t>(iv) to approve forms of Award Agreements for use under the Plan;</w:t>
      </w:r>
    </w:p>
    <w:p>
      <w:pPr>
        <w:pStyle w:val="TextBody"/>
        <w:bidi w:val="0"/>
        <w:spacing w:before="120" w:after="283"/>
        <w:ind w:left="0" w:right="0" w:firstLine="1440"/>
        <w:jc w:val="both"/>
        <w:rPr>
          <w:rFonts w:ascii="Montserrat;sans-serif" w:hAnsi="Montserrat;sans-serif"/>
          <w:color w:val="000000"/>
          <w:sz w:val="18"/>
        </w:rPr>
      </w:pPr>
      <w:r>
        <w:rPr>
          <w:rFonts w:ascii="Montserrat;sans-serif" w:hAnsi="Montserrat;sans-serif"/>
          <w:color w:val="000000"/>
          <w:sz w:val="18"/>
        </w:rPr>
        <w:t>(v) 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pStyle w:val="TextBody"/>
        <w:bidi w:val="0"/>
        <w:spacing w:before="120" w:after="283"/>
        <w:ind w:left="0" w:right="0" w:firstLine="1440"/>
        <w:jc w:val="both"/>
        <w:rPr>
          <w:rFonts w:ascii="Montserrat;sans-serif" w:hAnsi="Montserrat;sans-serif"/>
          <w:color w:val="000000"/>
          <w:sz w:val="18"/>
        </w:rPr>
      </w:pPr>
      <w:r>
        <w:rPr>
          <w:rFonts w:ascii="Montserrat;sans-serif" w:hAnsi="Montserrat;sans-serif"/>
          <w:color w:val="000000"/>
          <w:sz w:val="18"/>
        </w:rPr>
        <w:t xml:space="preserve">(vi) to construe and interpret the terms of the Plan and Awards granted pursuant to the Plan and make any decision necessary to administer the Plan; </w:t>
      </w:r>
    </w:p>
    <w:p>
      <w:pPr>
        <w:pStyle w:val="TextBody"/>
        <w:bidi w:val="0"/>
        <w:jc w:val="both"/>
        <w:rPr/>
      </w:pPr>
      <w:r>
        <w:rPr/>
        <w:t> </w:t>
      </w:r>
    </w:p>
    <w:tbl>
      <w:tblPr>
        <w:tblW w:w="3017" w:type="dxa"/>
        <w:jc w:val="left"/>
        <w:tblInd w:w="0" w:type="dxa"/>
        <w:tblLayout w:type="fixed"/>
        <w:tblCellMar>
          <w:top w:w="28" w:type="dxa"/>
          <w:left w:w="28" w:type="dxa"/>
          <w:bottom w:w="28" w:type="dxa"/>
          <w:right w:w="28" w:type="dxa"/>
        </w:tblCellMar>
      </w:tblPr>
      <w:tblGrid>
        <w:gridCol w:w="2641"/>
        <w:gridCol w:w="376"/>
      </w:tblGrid>
      <w:tr>
        <w:trPr/>
        <w:tc>
          <w:tcPr>
            <w:tcW w:w="264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250"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41" descr=""/>
                          <pic:cNvPicPr>
                            <a:picLocks noChangeAspect="1" noChangeArrowheads="1"/>
                          </pic:cNvPicPr>
                        </pic:nvPicPr>
                        <pic:blipFill>
                          <a:blip r:embed="rId243"/>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76"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B-5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rFonts w:ascii="Montserrat;sans-serif" w:hAnsi="Montserrat;sans-serif"/>
          <w:color w:val="000000"/>
          <w:sz w:val="13"/>
        </w:rPr>
      </w:pPr>
      <w:r>
        <w:rPr>
          <w:rFonts w:ascii="Montserrat;sans-serif" w:hAnsi="Montserrat;sans-serif"/>
          <w:color w:val="000000"/>
          <w:sz w:val="13"/>
        </w:rPr>
        <w:t>Appendix B</w:t>
        <w:br/>
        <w:t>Amended and Restated 2016 Equity Incentive Plan</w:t>
      </w:r>
    </w:p>
    <w:p>
      <w:pPr>
        <w:pStyle w:val="TextBody"/>
        <w:bidi w:val="0"/>
        <w:jc w:val="left"/>
        <w:rPr/>
      </w:pPr>
      <w:r>
        <w:rPr/>
        <w:t> </w:t>
      </w:r>
    </w:p>
    <w:p>
      <w:pPr>
        <w:pStyle w:val="TextBody"/>
        <w:bidi w:val="0"/>
        <w:jc w:val="left"/>
        <w:rPr/>
      </w:pPr>
      <w:r>
        <w:rPr/>
        <w:t> </w:t>
      </w:r>
    </w:p>
    <w:p>
      <w:pPr>
        <w:pStyle w:val="TextBody"/>
        <w:bidi w:val="0"/>
        <w:spacing w:before="120" w:after="283"/>
        <w:ind w:left="0" w:right="0" w:firstLine="1440"/>
        <w:jc w:val="both"/>
        <w:rPr>
          <w:rFonts w:ascii="Montserrat;sans-serif" w:hAnsi="Montserrat;sans-serif"/>
          <w:color w:val="000000"/>
          <w:sz w:val="18"/>
        </w:rPr>
      </w:pPr>
      <w:r>
        <w:rPr>
          <w:rFonts w:ascii="Montserrat;sans-serif" w:hAnsi="Montserrat;sans-serif"/>
          <w:color w:val="000000"/>
          <w:sz w:val="18"/>
        </w:rPr>
        <w:t>(vii) to prescribe, amend and rescind rules and regulations relating to the Plan, including rules and regulations relating to sub-plans established for the purpose of satisfying applicable foreign laws or for qualifying for favorable tax treatment under applicable foreign laws;</w:t>
      </w:r>
    </w:p>
    <w:p>
      <w:pPr>
        <w:pStyle w:val="TextBody"/>
        <w:bidi w:val="0"/>
        <w:spacing w:before="120" w:after="283"/>
        <w:ind w:left="0" w:right="0" w:firstLine="1440"/>
        <w:jc w:val="both"/>
        <w:rPr>
          <w:rFonts w:ascii="Montserrat;sans-serif" w:hAnsi="Montserrat;sans-serif"/>
          <w:color w:val="000000"/>
          <w:sz w:val="18"/>
        </w:rPr>
      </w:pPr>
      <w:r>
        <w:rPr>
          <w:rFonts w:ascii="Montserrat;sans-serif" w:hAnsi="Montserrat;sans-serif"/>
          <w:color w:val="000000"/>
          <w:sz w:val="18"/>
        </w:rPr>
        <w:t>(viii) to modify or amend each Award (subject to Section 20 of the Plan), including but not limited to the discretionary authority to extend the post-termination exercisability period of Awards and to extend the maximum term of an Option (subject to Section 6(b) of the Plan regarding Incentive Stock Options); provided, however, that in no event will the term of an Option or Stock Appreciation Right be extended beyond its original maximum term;</w:t>
      </w:r>
    </w:p>
    <w:p>
      <w:pPr>
        <w:pStyle w:val="TextBody"/>
        <w:bidi w:val="0"/>
        <w:spacing w:before="120" w:after="283"/>
        <w:ind w:left="0" w:right="0" w:firstLine="1440"/>
        <w:jc w:val="both"/>
        <w:rPr>
          <w:rFonts w:ascii="Montserrat;sans-serif" w:hAnsi="Montserrat;sans-serif"/>
          <w:color w:val="000000"/>
          <w:sz w:val="18"/>
        </w:rPr>
      </w:pPr>
      <w:r>
        <w:rPr>
          <w:rFonts w:ascii="Montserrat;sans-serif" w:hAnsi="Montserrat;sans-serif"/>
          <w:color w:val="000000"/>
          <w:sz w:val="18"/>
        </w:rPr>
        <w:t>(ix) to allow Participants to satisfy tax withholding obligations in such manner as prescribed in Section 15 of the Plan;</w:t>
      </w:r>
    </w:p>
    <w:p>
      <w:pPr>
        <w:pStyle w:val="TextBody"/>
        <w:bidi w:val="0"/>
        <w:spacing w:before="120" w:after="283"/>
        <w:ind w:left="0" w:right="0" w:firstLine="1440"/>
        <w:jc w:val="both"/>
        <w:rPr>
          <w:rFonts w:ascii="Montserrat;sans-serif" w:hAnsi="Montserrat;sans-serif"/>
          <w:color w:val="000000"/>
          <w:sz w:val="18"/>
        </w:rPr>
      </w:pPr>
      <w:r>
        <w:rPr>
          <w:rFonts w:ascii="Montserrat;sans-serif" w:hAnsi="Montserrat;sans-serif"/>
          <w:color w:val="000000"/>
          <w:sz w:val="18"/>
        </w:rPr>
        <w:t>(x) to authorize any person to execute on behalf of the Company any instrument required to effect the grant of an Award previously granted by the Administrator;</w:t>
      </w:r>
    </w:p>
    <w:p>
      <w:pPr>
        <w:pStyle w:val="TextBody"/>
        <w:bidi w:val="0"/>
        <w:spacing w:before="120" w:after="283"/>
        <w:ind w:left="0" w:right="0" w:firstLine="1440"/>
        <w:jc w:val="both"/>
        <w:rPr>
          <w:rFonts w:ascii="Montserrat;sans-serif" w:hAnsi="Montserrat;sans-serif"/>
          <w:color w:val="000000"/>
          <w:sz w:val="18"/>
        </w:rPr>
      </w:pPr>
      <w:r>
        <w:rPr>
          <w:rFonts w:ascii="Montserrat;sans-serif" w:hAnsi="Montserrat;sans-serif"/>
          <w:color w:val="000000"/>
          <w:sz w:val="18"/>
        </w:rPr>
        <w:t>(xi) to temporarily suspend the exercisability of an Award if the Administrator deems such suspension to be necessary or appropriate for administrative purposes or to comply with Applicable Laws, provided that such suspension must be lifted prior to the expiration of the maximum term and post-service exercisability period of an Award, unless permitting the exercise would not comply with Applicable Laws;</w:t>
      </w:r>
    </w:p>
    <w:p>
      <w:pPr>
        <w:pStyle w:val="TextBody"/>
        <w:bidi w:val="0"/>
        <w:spacing w:before="120" w:after="283"/>
        <w:ind w:left="0" w:right="0" w:firstLine="1440"/>
        <w:jc w:val="both"/>
        <w:rPr>
          <w:rFonts w:ascii="Montserrat;sans-serif" w:hAnsi="Montserrat;sans-serif"/>
          <w:color w:val="000000"/>
          <w:sz w:val="18"/>
        </w:rPr>
      </w:pPr>
      <w:r>
        <w:rPr>
          <w:rFonts w:ascii="Montserrat;sans-serif" w:hAnsi="Montserrat;sans-serif"/>
          <w:color w:val="000000"/>
          <w:sz w:val="18"/>
        </w:rPr>
        <w:t xml:space="preserve">(xii) to allow a Participant to defer the receipt of the payment of cash or the delivery of Shares that would otherwise be due to such Participant under an Award, subject to Section 15(c); </w:t>
      </w:r>
    </w:p>
    <w:p>
      <w:pPr>
        <w:pStyle w:val="TextBody"/>
        <w:bidi w:val="0"/>
        <w:spacing w:before="120" w:after="283"/>
        <w:ind w:left="0" w:right="0" w:firstLine="1440"/>
        <w:jc w:val="both"/>
        <w:rPr>
          <w:rFonts w:ascii="Montserrat;sans-serif" w:hAnsi="Montserrat;sans-serif"/>
          <w:color w:val="000000"/>
          <w:sz w:val="18"/>
        </w:rPr>
      </w:pPr>
      <w:r>
        <w:rPr>
          <w:rFonts w:ascii="Montserrat;sans-serif" w:hAnsi="Montserrat;sans-serif"/>
          <w:color w:val="000000"/>
          <w:sz w:val="18"/>
        </w:rPr>
        <w:t xml:space="preserve">(xiii) to determine whether Awards will be settled in Shares, cash or in any combination thereof; </w:t>
      </w:r>
    </w:p>
    <w:p>
      <w:pPr>
        <w:pStyle w:val="TextBody"/>
        <w:bidi w:val="0"/>
        <w:spacing w:before="120" w:after="283"/>
        <w:ind w:left="0" w:right="0" w:firstLine="1440"/>
        <w:jc w:val="both"/>
        <w:rPr>
          <w:rFonts w:ascii="Montserrat;sans-serif" w:hAnsi="Montserrat;sans-serif"/>
          <w:color w:val="000000"/>
          <w:sz w:val="18"/>
        </w:rPr>
      </w:pPr>
      <w:r>
        <w:rPr>
          <w:rFonts w:ascii="Montserrat;sans-serif" w:hAnsi="Montserrat;sans-serif"/>
          <w:color w:val="000000"/>
          <w:sz w:val="18"/>
        </w:rPr>
        <w:t>(xiv) to impose such restrictions, conditions or limitations as it determines appropriate as to the timing and manner of any resales by a Participant or other subsequent transfers by the Participant of any Shares issued as a result of or under an Award, including without limitation, (A) restrictions under an insider trading policy, (B) restrictions as to the use of a specified brokerage firm for such resales or other transfers, (C) restrictions under stock ownership guidelines, and (D) restrictions as to which brokerages may be used to hold Shares so that the Company can confirm compliance with (A) through (C); and</w:t>
      </w:r>
    </w:p>
    <w:p>
      <w:pPr>
        <w:pStyle w:val="TextBody"/>
        <w:bidi w:val="0"/>
        <w:spacing w:before="120" w:after="283"/>
        <w:ind w:left="0" w:right="0" w:firstLine="1440"/>
        <w:jc w:val="both"/>
        <w:rPr>
          <w:rFonts w:ascii="Montserrat;sans-serif" w:hAnsi="Montserrat;sans-serif"/>
          <w:color w:val="000000"/>
          <w:sz w:val="18"/>
        </w:rPr>
      </w:pPr>
      <w:r>
        <w:rPr>
          <w:rFonts w:ascii="Montserrat;sans-serif" w:hAnsi="Montserrat;sans-serif"/>
          <w:color w:val="000000"/>
          <w:sz w:val="18"/>
        </w:rPr>
        <w:t>(xv) to make all other determinations deemed necessary or advisable for administering the Plan.</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(c) </w:t>
      </w:r>
      <w:r>
        <w:rPr>
          <w:rFonts w:ascii="Montserrat;sans-serif" w:hAnsi="Montserrat;sans-serif"/>
          <w:color w:val="000000"/>
          <w:sz w:val="18"/>
          <w:u w:val="single"/>
        </w:rPr>
        <w:t>Waiver</w:t>
      </w:r>
      <w:r>
        <w:rPr>
          <w:rFonts w:ascii="Montserrat;sans-serif" w:hAnsi="Montserrat;sans-serif"/>
          <w:color w:val="000000"/>
          <w:sz w:val="18"/>
        </w:rPr>
        <w:t>. The Administrator may waive any terms, conditions or restrictions.</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(d) </w:t>
      </w:r>
      <w:r>
        <w:rPr>
          <w:rFonts w:ascii="Montserrat;sans-serif" w:hAnsi="Montserrat;sans-serif"/>
          <w:color w:val="000000"/>
          <w:sz w:val="18"/>
          <w:u w:val="single"/>
        </w:rPr>
        <w:t>Electronic Delivery</w:t>
      </w:r>
      <w:r>
        <w:rPr>
          <w:rFonts w:ascii="Montserrat;sans-serif" w:hAnsi="Montserrat;sans-serif"/>
          <w:color w:val="000000"/>
          <w:sz w:val="18"/>
        </w:rPr>
        <w:t>. The Company may deliver by e-mail or other electronic means (including posting on a website maintained by the Company or its agent) all documents relating to the Plan or any Award and all other documents that the Company is required to deliver to its security holders (including prospectuses, annual reports and proxy statements).</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(e) </w:t>
      </w:r>
      <w:r>
        <w:rPr>
          <w:rFonts w:ascii="Montserrat;sans-serif" w:hAnsi="Montserrat;sans-serif"/>
          <w:color w:val="000000"/>
          <w:sz w:val="18"/>
          <w:u w:val="single"/>
        </w:rPr>
        <w:t>Effect of Administrator’s Decision</w:t>
      </w:r>
      <w:r>
        <w:rPr>
          <w:rFonts w:ascii="Montserrat;sans-serif" w:hAnsi="Montserrat;sans-serif"/>
          <w:color w:val="000000"/>
          <w:sz w:val="18"/>
        </w:rPr>
        <w:t>. The Administrator’s decisions, determinations and interpretations will be final and binding on all Participants and any other holders of Awards and will be given the maximum deference permitted by Applicable Laws.</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 xml:space="preserve">5. </w:t>
      </w:r>
      <w:r>
        <w:rPr>
          <w:rFonts w:ascii="Montserrat;sans-serif" w:hAnsi="Montserrat;sans-serif"/>
          <w:color w:val="000000"/>
          <w:sz w:val="18"/>
          <w:u w:val="single"/>
        </w:rPr>
        <w:t>Eligibility</w:t>
      </w:r>
      <w:r>
        <w:rPr>
          <w:rFonts w:ascii="Montserrat;sans-serif" w:hAnsi="Montserrat;sans-serif"/>
          <w:color w:val="000000"/>
          <w:sz w:val="18"/>
        </w:rPr>
        <w:t>. Nonstatutory Stock Options, Stock Appreciation Rights, Restricted Stock, Restricted Stock Units, Performance Shares and Performance Units may be granted to Service Providers. Incentive Stock Options may be granted only to Employees.</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 xml:space="preserve">6. </w:t>
      </w:r>
      <w:r>
        <w:rPr>
          <w:rFonts w:ascii="Montserrat;sans-serif" w:hAnsi="Montserrat;sans-serif"/>
          <w:color w:val="000000"/>
          <w:sz w:val="18"/>
          <w:u w:val="single"/>
        </w:rPr>
        <w:t>Stock Options</w:t>
      </w:r>
      <w:r>
        <w:rPr>
          <w:rFonts w:ascii="Montserrat;sans-serif" w:hAnsi="Montserrat;sans-serif"/>
          <w:color w:val="000000"/>
          <w:sz w:val="18"/>
        </w:rPr>
        <w:t>.</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(a) </w:t>
      </w:r>
      <w:r>
        <w:rPr>
          <w:rFonts w:ascii="Montserrat;sans-serif" w:hAnsi="Montserrat;sans-serif"/>
          <w:color w:val="000000"/>
          <w:sz w:val="18"/>
          <w:u w:val="single"/>
        </w:rPr>
        <w:t>Limitations</w:t>
      </w:r>
      <w:r>
        <w:rPr>
          <w:rFonts w:ascii="Montserrat;sans-serif" w:hAnsi="Montserrat;sans-serif"/>
          <w:color w:val="000000"/>
          <w:sz w:val="18"/>
        </w:rPr>
        <w:t>.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(b) </w:t>
      </w:r>
      <w:r>
        <w:rPr>
          <w:rFonts w:ascii="Montserrat;sans-serif" w:hAnsi="Montserrat;sans-serif"/>
          <w:color w:val="000000"/>
          <w:sz w:val="18"/>
          <w:u w:val="single"/>
        </w:rPr>
        <w:t>Term of Option</w:t>
      </w:r>
      <w:r>
        <w:rPr>
          <w:rFonts w:ascii="Montserrat;sans-serif" w:hAnsi="Montserrat;sans-serif"/>
          <w:color w:val="000000"/>
          <w:sz w:val="18"/>
        </w:rPr>
        <w:t>. The term of each Option will be stated in the Award Agreement. In the case of an Incentive Stock Option, the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pStyle w:val="TextBody"/>
        <w:bidi w:val="0"/>
        <w:jc w:val="both"/>
        <w:rPr/>
      </w:pPr>
      <w:r>
        <w:rPr/>
        <w:t> </w:t>
      </w:r>
    </w:p>
    <w:tbl>
      <w:tblPr>
        <w:tblW w:w="3017" w:type="dxa"/>
        <w:jc w:val="left"/>
        <w:tblInd w:w="0" w:type="dxa"/>
        <w:tblLayout w:type="fixed"/>
        <w:tblCellMar>
          <w:top w:w="28" w:type="dxa"/>
          <w:left w:w="28" w:type="dxa"/>
          <w:bottom w:w="28" w:type="dxa"/>
          <w:right w:w="28" w:type="dxa"/>
        </w:tblCellMar>
      </w:tblPr>
      <w:tblGrid>
        <w:gridCol w:w="346"/>
        <w:gridCol w:w="2671"/>
      </w:tblGrid>
      <w:tr>
        <w:trPr/>
        <w:tc>
          <w:tcPr>
            <w:tcW w:w="346"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4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B-6</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251"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42" descr=""/>
                          <pic:cNvPicPr>
                            <a:picLocks noChangeAspect="1" noChangeArrowheads="1"/>
                          </pic:cNvPicPr>
                        </pic:nvPicPr>
                        <pic:blipFill>
                          <a:blip r:embed="rId244"/>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rFonts w:ascii="Montserrat;sans-serif" w:hAnsi="Montserrat;sans-serif"/>
          <w:color w:val="000000"/>
          <w:sz w:val="13"/>
        </w:rPr>
      </w:pPr>
      <w:r>
        <w:rPr>
          <w:rFonts w:ascii="Montserrat;sans-serif" w:hAnsi="Montserrat;sans-serif"/>
          <w:color w:val="000000"/>
          <w:sz w:val="13"/>
        </w:rPr>
        <w:t>Appendix B</w:t>
        <w:br/>
        <w:t>Amended and Restated 2016 Equity Incentive Plan</w:t>
      </w:r>
    </w:p>
    <w:p>
      <w:pPr>
        <w:pStyle w:val="TextBody"/>
        <w:bidi w:val="0"/>
        <w:jc w:val="right"/>
        <w:rPr/>
      </w:pPr>
      <w:r>
        <w:rPr/>
        <w:t> </w:t>
      </w:r>
    </w:p>
    <w:p>
      <w:pPr>
        <w:pStyle w:val="TextBody"/>
        <w:bidi w:val="0"/>
        <w:jc w:val="right"/>
        <w:rPr/>
      </w:pPr>
      <w:r>
        <w:rPr/>
        <w:t> </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(c) </w:t>
      </w:r>
      <w:r>
        <w:rPr>
          <w:rFonts w:ascii="Montserrat;sans-serif" w:hAnsi="Montserrat;sans-serif"/>
          <w:color w:val="000000"/>
          <w:sz w:val="18"/>
          <w:u w:val="single"/>
        </w:rPr>
        <w:t>Option Exercise Price and Consideration</w:t>
      </w:r>
      <w:r>
        <w:rPr>
          <w:rFonts w:ascii="Montserrat;sans-serif" w:hAnsi="Montserrat;sans-serif"/>
          <w:color w:val="000000"/>
          <w:sz w:val="18"/>
        </w:rPr>
        <w:t>.</w:t>
      </w:r>
    </w:p>
    <w:p>
      <w:pPr>
        <w:pStyle w:val="TextBody"/>
        <w:bidi w:val="0"/>
        <w:spacing w:before="120" w:after="283"/>
        <w:ind w:left="0" w:right="0" w:firstLine="1440"/>
        <w:jc w:val="both"/>
        <w:rPr>
          <w:rFonts w:ascii="Montserrat;sans-serif" w:hAnsi="Montserrat;sans-serif"/>
          <w:sz w:val="18"/>
        </w:rPr>
      </w:pPr>
      <w:r>
        <w:rPr>
          <w:rFonts w:ascii="Montserrat;sans-serif" w:hAnsi="Montserrat;sans-serif"/>
          <w:color w:val="000000"/>
          <w:sz w:val="18"/>
        </w:rPr>
        <w:t xml:space="preserve">(i) </w:t>
      </w:r>
      <w:r>
        <w:rPr>
          <w:rFonts w:ascii="Montserrat;sans-serif" w:hAnsi="Montserrat;sans-serif"/>
          <w:color w:val="000000"/>
          <w:sz w:val="18"/>
          <w:u w:val="single"/>
        </w:rPr>
        <w:t>Exercise Price</w:t>
      </w:r>
      <w:r>
        <w:rPr>
          <w:rFonts w:ascii="Montserrat;sans-serif" w:hAnsi="Montserrat;sans-serif"/>
          <w:color w:val="000000"/>
          <w:sz w:val="18"/>
        </w:rPr>
        <w:t>. The per share exercise price for the Shares to be issued pursuant to exercise of an Option will be determined by the Administrator, subject to the following:</w:t>
      </w:r>
    </w:p>
    <w:p>
      <w:pPr>
        <w:pStyle w:val="TextBody"/>
        <w:bidi w:val="0"/>
        <w:spacing w:before="120" w:after="283"/>
        <w:ind w:left="0" w:right="0" w:firstLine="2160"/>
        <w:jc w:val="both"/>
        <w:rPr>
          <w:rFonts w:ascii="Montserrat;sans-serif" w:hAnsi="Montserrat;sans-serif"/>
          <w:color w:val="000000"/>
          <w:sz w:val="18"/>
        </w:rPr>
      </w:pPr>
      <w:r>
        <w:rPr>
          <w:rFonts w:ascii="Montserrat;sans-serif" w:hAnsi="Montserrat;sans-serif"/>
          <w:color w:val="000000"/>
          <w:sz w:val="18"/>
        </w:rPr>
        <w:t>(1) In the case of an Incentive Stock Option</w:t>
      </w:r>
    </w:p>
    <w:p>
      <w:pPr>
        <w:pStyle w:val="TextBody"/>
        <w:bidi w:val="0"/>
        <w:spacing w:before="120" w:after="283"/>
        <w:ind w:left="0" w:right="0" w:firstLine="2880"/>
        <w:jc w:val="both"/>
        <w:rPr>
          <w:rFonts w:ascii="Montserrat;sans-serif" w:hAnsi="Montserrat;sans-serif"/>
          <w:color w:val="000000"/>
          <w:sz w:val="18"/>
        </w:rPr>
      </w:pPr>
      <w:r>
        <w:rPr>
          <w:rFonts w:ascii="Montserrat;sans-serif" w:hAnsi="Montserrat;sans-serif"/>
          <w:color w:val="000000"/>
          <w:sz w:val="18"/>
        </w:rPr>
        <w:t>(A) 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w:t>
      </w:r>
    </w:p>
    <w:p>
      <w:pPr>
        <w:pStyle w:val="TextBody"/>
        <w:bidi w:val="0"/>
        <w:spacing w:before="120" w:after="283"/>
        <w:ind w:left="0" w:right="0" w:firstLine="2880"/>
        <w:jc w:val="both"/>
        <w:rPr>
          <w:rFonts w:ascii="Montserrat;sans-serif" w:hAnsi="Montserrat;sans-serif"/>
          <w:color w:val="000000"/>
          <w:sz w:val="18"/>
        </w:rPr>
      </w:pPr>
      <w:r>
        <w:rPr>
          <w:rFonts w:ascii="Montserrat;sans-serif" w:hAnsi="Montserrat;sans-serif"/>
          <w:color w:val="000000"/>
          <w:sz w:val="18"/>
        </w:rPr>
        <w:t>(B) granted to any Employee other than an Employee described in paragraph (A) immediately above, the per Share exercise price will be no less than one hundred percent (100%) of the Fair Market Value per Share on the date of grant.</w:t>
      </w:r>
    </w:p>
    <w:p>
      <w:pPr>
        <w:pStyle w:val="TextBody"/>
        <w:bidi w:val="0"/>
        <w:spacing w:before="120" w:after="283"/>
        <w:ind w:left="0" w:right="0" w:firstLine="2160"/>
        <w:jc w:val="both"/>
        <w:rPr>
          <w:rFonts w:ascii="Montserrat;sans-serif" w:hAnsi="Montserrat;sans-serif"/>
          <w:color w:val="000000"/>
          <w:sz w:val="18"/>
        </w:rPr>
      </w:pPr>
      <w:r>
        <w:rPr>
          <w:rFonts w:ascii="Montserrat;sans-serif" w:hAnsi="Montserrat;sans-serif"/>
          <w:color w:val="000000"/>
          <w:sz w:val="18"/>
        </w:rPr>
        <w:t>(2) In the case of a Nonstatutory Stock Option, the per Share exercise price will be no less than one hundred percent (100%) of the Fair Market Value per Share on the date of grant.</w:t>
      </w:r>
    </w:p>
    <w:p>
      <w:pPr>
        <w:pStyle w:val="TextBody"/>
        <w:bidi w:val="0"/>
        <w:spacing w:before="120" w:after="283"/>
        <w:ind w:left="0" w:right="0" w:firstLine="2160"/>
        <w:jc w:val="both"/>
        <w:rPr>
          <w:rFonts w:ascii="Montserrat;sans-serif" w:hAnsi="Montserrat;sans-serif"/>
          <w:color w:val="000000"/>
          <w:sz w:val="18"/>
        </w:rPr>
      </w:pPr>
      <w:r>
        <w:rPr>
          <w:rFonts w:ascii="Montserrat;sans-serif" w:hAnsi="Montserrat;sans-serif"/>
          <w:color w:val="000000"/>
          <w:sz w:val="18"/>
        </w:rPr>
        <w:t>(3) 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pStyle w:val="TextBody"/>
        <w:bidi w:val="0"/>
        <w:spacing w:before="120" w:after="283"/>
        <w:ind w:left="0" w:right="0" w:firstLine="1440"/>
        <w:jc w:val="both"/>
        <w:rPr>
          <w:rFonts w:ascii="Montserrat;sans-serif" w:hAnsi="Montserrat;sans-serif"/>
          <w:sz w:val="18"/>
        </w:rPr>
      </w:pPr>
      <w:r>
        <w:rPr>
          <w:rFonts w:ascii="Montserrat;sans-serif" w:hAnsi="Montserrat;sans-serif"/>
          <w:color w:val="000000"/>
          <w:sz w:val="18"/>
        </w:rPr>
        <w:t xml:space="preserve">(ii) </w:t>
      </w:r>
      <w:r>
        <w:rPr>
          <w:rFonts w:ascii="Montserrat;sans-serif" w:hAnsi="Montserrat;sans-serif"/>
          <w:color w:val="000000"/>
          <w:sz w:val="18"/>
          <w:u w:val="single"/>
        </w:rPr>
        <w:t>Waiting Period and Exercise Dates</w:t>
      </w:r>
      <w:r>
        <w:rPr>
          <w:rFonts w:ascii="Montserrat;sans-serif" w:hAnsi="Montserrat;sans-serif"/>
          <w:color w:val="000000"/>
          <w:sz w:val="18"/>
        </w:rPr>
        <w:t>. At the time an Option is granted, the Administrator will fix the period within which the Option may be exercised and will determine any conditions that must be satisfied before the Option may be exercised.</w:t>
      </w:r>
    </w:p>
    <w:p>
      <w:pPr>
        <w:pStyle w:val="TextBody"/>
        <w:bidi w:val="0"/>
        <w:spacing w:before="120" w:after="283"/>
        <w:ind w:left="0" w:right="0" w:firstLine="1440"/>
        <w:jc w:val="both"/>
        <w:rPr>
          <w:rFonts w:ascii="Montserrat;sans-serif" w:hAnsi="Montserrat;sans-serif"/>
          <w:sz w:val="18"/>
        </w:rPr>
      </w:pPr>
      <w:r>
        <w:rPr>
          <w:rFonts w:ascii="Montserrat;sans-serif" w:hAnsi="Montserrat;sans-serif"/>
          <w:color w:val="000000"/>
          <w:sz w:val="18"/>
        </w:rPr>
        <w:t xml:space="preserve">(iii) </w:t>
      </w:r>
      <w:r>
        <w:rPr>
          <w:rFonts w:ascii="Montserrat;sans-serif" w:hAnsi="Montserrat;sans-serif"/>
          <w:color w:val="000000"/>
          <w:sz w:val="18"/>
          <w:u w:val="single"/>
        </w:rPr>
        <w:t>Form of Consideration</w:t>
      </w:r>
      <w:r>
        <w:rPr>
          <w:rFonts w:ascii="Montserrat;sans-serif" w:hAnsi="Montserrat;sans-serif"/>
          <w:color w:val="000000"/>
          <w:sz w:val="18"/>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(including cash equivalents); (2) check; (3) promissory note, to the extent permitted by Applicable Laws, (4)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 the Plan; (6) by reduction in the amount of any Company liability to the Participant; (7) by net exercise; (8) such other consideration and method of payment for the issuance of Shares to the extent permitted by Applicable Laws; or (9) any combination of the foregoing methods of payment.</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(d) </w:t>
      </w:r>
      <w:r>
        <w:rPr>
          <w:rFonts w:ascii="Montserrat;sans-serif" w:hAnsi="Montserrat;sans-serif"/>
          <w:color w:val="000000"/>
          <w:sz w:val="18"/>
          <w:u w:val="single"/>
        </w:rPr>
        <w:t>Exercise of Option</w:t>
      </w:r>
      <w:r>
        <w:rPr>
          <w:rFonts w:ascii="Montserrat;sans-serif" w:hAnsi="Montserrat;sans-serif"/>
          <w:color w:val="000000"/>
          <w:sz w:val="18"/>
        </w:rPr>
        <w:t>.</w:t>
      </w:r>
    </w:p>
    <w:p>
      <w:pPr>
        <w:pStyle w:val="TextBody"/>
        <w:bidi w:val="0"/>
        <w:spacing w:before="120" w:after="283"/>
        <w:ind w:left="0" w:right="0" w:firstLine="1440"/>
        <w:jc w:val="both"/>
        <w:rPr>
          <w:rFonts w:ascii="Montserrat;sans-serif" w:hAnsi="Montserrat;sans-serif"/>
          <w:sz w:val="18"/>
        </w:rPr>
      </w:pPr>
      <w:r>
        <w:rPr>
          <w:rFonts w:ascii="Montserrat;sans-serif" w:hAnsi="Montserrat;sans-serif"/>
          <w:color w:val="000000"/>
          <w:sz w:val="18"/>
        </w:rPr>
        <w:t xml:space="preserve">(i) </w:t>
      </w:r>
      <w:r>
        <w:rPr>
          <w:rFonts w:ascii="Montserrat;sans-serif" w:hAnsi="Montserrat;sans-serif"/>
          <w:color w:val="000000"/>
          <w:sz w:val="18"/>
          <w:u w:val="single"/>
        </w:rPr>
        <w:t>Procedure for Exercise; Rights as a Stockholder</w:t>
      </w:r>
      <w:r>
        <w:rPr>
          <w:rFonts w:ascii="Montserrat;sans-serif" w:hAnsi="Montserrat;sans-serif"/>
          <w:color w:val="000000"/>
          <w:sz w:val="18"/>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An Option will be deemed exercised when the Company receives: (i) a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14 of the Plan.</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Exercising an Option in any manner will decrease the number of Shares thereafter available, both for purposes of the Plan and for sale under the Option, by the number of Shares as to which the Option is exercised.</w:t>
      </w:r>
    </w:p>
    <w:p>
      <w:pPr>
        <w:pStyle w:val="TextBody"/>
        <w:bidi w:val="0"/>
        <w:spacing w:before="120" w:after="283"/>
        <w:ind w:left="0" w:right="0" w:firstLine="1440"/>
        <w:jc w:val="both"/>
        <w:rPr>
          <w:rFonts w:ascii="Montserrat;sans-serif" w:hAnsi="Montserrat;sans-serif"/>
          <w:sz w:val="18"/>
        </w:rPr>
      </w:pPr>
      <w:r>
        <w:rPr>
          <w:rFonts w:ascii="Montserrat;sans-serif" w:hAnsi="Montserrat;sans-serif"/>
          <w:color w:val="000000"/>
          <w:sz w:val="18"/>
        </w:rPr>
        <w:t xml:space="preserve">(ii) </w:t>
      </w:r>
      <w:r>
        <w:rPr>
          <w:rFonts w:ascii="Montserrat;sans-serif" w:hAnsi="Montserrat;sans-serif"/>
          <w:color w:val="000000"/>
          <w:sz w:val="18"/>
          <w:u w:val="single"/>
        </w:rPr>
        <w:t>Termination of Relationship as a Service Provider</w:t>
      </w:r>
      <w:r>
        <w:rPr>
          <w:rFonts w:ascii="Montserrat;sans-serif" w:hAnsi="Montserrat;sans-serif"/>
          <w:color w:val="000000"/>
          <w:sz w:val="18"/>
        </w:rPr>
        <w:t xml:space="preserve">.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w:t>
      </w:r>
    </w:p>
    <w:p>
      <w:pPr>
        <w:pStyle w:val="TextBody"/>
        <w:bidi w:val="0"/>
        <w:jc w:val="both"/>
        <w:rPr/>
      </w:pPr>
      <w:r>
        <w:rPr/>
        <w:t> </w:t>
      </w:r>
    </w:p>
    <w:tbl>
      <w:tblPr>
        <w:tblW w:w="3017" w:type="dxa"/>
        <w:jc w:val="left"/>
        <w:tblInd w:w="0" w:type="dxa"/>
        <w:tblLayout w:type="fixed"/>
        <w:tblCellMar>
          <w:top w:w="28" w:type="dxa"/>
          <w:left w:w="28" w:type="dxa"/>
          <w:bottom w:w="28" w:type="dxa"/>
          <w:right w:w="28" w:type="dxa"/>
        </w:tblCellMar>
      </w:tblPr>
      <w:tblGrid>
        <w:gridCol w:w="2641"/>
        <w:gridCol w:w="376"/>
      </w:tblGrid>
      <w:tr>
        <w:trPr/>
        <w:tc>
          <w:tcPr>
            <w:tcW w:w="264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252"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43" descr=""/>
                          <pic:cNvPicPr>
                            <a:picLocks noChangeAspect="1" noChangeArrowheads="1"/>
                          </pic:cNvPicPr>
                        </pic:nvPicPr>
                        <pic:blipFill>
                          <a:blip r:embed="rId245"/>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76"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B-7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rFonts w:ascii="Montserrat;sans-serif" w:hAnsi="Montserrat;sans-serif"/>
          <w:color w:val="000000"/>
          <w:sz w:val="13"/>
        </w:rPr>
      </w:pPr>
      <w:r>
        <w:rPr>
          <w:rFonts w:ascii="Montserrat;sans-serif" w:hAnsi="Montserrat;sans-serif"/>
          <w:color w:val="000000"/>
          <w:sz w:val="13"/>
        </w:rPr>
        <w:t>Appendix B</w:t>
        <w:br/>
        <w:t>Amended and Restated 2016 Equity Incentive Plan</w:t>
      </w:r>
    </w:p>
    <w:p>
      <w:pPr>
        <w:pStyle w:val="TextBody"/>
        <w:bidi w:val="0"/>
        <w:jc w:val="left"/>
        <w:rPr/>
      </w:pPr>
      <w:r>
        <w:rPr/>
        <w:t> </w:t>
      </w:r>
    </w:p>
    <w:p>
      <w:pPr>
        <w:pStyle w:val="TextBody"/>
        <w:bidi w:val="0"/>
        <w:jc w:val="left"/>
        <w:rPr/>
      </w:pPr>
      <w:r>
        <w:rPr/>
        <w:t> </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pStyle w:val="TextBody"/>
        <w:bidi w:val="0"/>
        <w:spacing w:before="120" w:after="283"/>
        <w:ind w:left="0" w:right="0" w:firstLine="1440"/>
        <w:jc w:val="both"/>
        <w:rPr>
          <w:rFonts w:ascii="Montserrat;sans-serif" w:hAnsi="Montserrat;sans-serif"/>
          <w:sz w:val="18"/>
        </w:rPr>
      </w:pPr>
      <w:r>
        <w:rPr>
          <w:rFonts w:ascii="Montserrat;sans-serif" w:hAnsi="Montserrat;sans-serif"/>
          <w:color w:val="000000"/>
          <w:sz w:val="18"/>
        </w:rPr>
        <w:t xml:space="preserve">(iii) </w:t>
      </w:r>
      <w:r>
        <w:rPr>
          <w:rFonts w:ascii="Montserrat;sans-serif" w:hAnsi="Montserrat;sans-serif"/>
          <w:color w:val="000000"/>
          <w:sz w:val="18"/>
          <w:u w:val="single"/>
        </w:rPr>
        <w:t>Disability of Participant</w:t>
      </w:r>
      <w:r>
        <w:rPr>
          <w:rFonts w:ascii="Montserrat;sans-serif" w:hAnsi="Montserrat;sans-serif"/>
          <w:color w:val="000000"/>
          <w:sz w:val="18"/>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pStyle w:val="TextBody"/>
        <w:bidi w:val="0"/>
        <w:spacing w:before="120" w:after="283"/>
        <w:ind w:left="0" w:right="0" w:firstLine="1440"/>
        <w:jc w:val="both"/>
        <w:rPr>
          <w:rFonts w:ascii="Montserrat;sans-serif" w:hAnsi="Montserrat;sans-serif"/>
          <w:sz w:val="18"/>
        </w:rPr>
      </w:pPr>
      <w:r>
        <w:rPr>
          <w:rFonts w:ascii="Montserrat;sans-serif" w:hAnsi="Montserrat;sans-serif"/>
          <w:color w:val="000000"/>
          <w:sz w:val="18"/>
        </w:rPr>
        <w:t xml:space="preserve">(iv) </w:t>
      </w:r>
      <w:r>
        <w:rPr>
          <w:rFonts w:ascii="Montserrat;sans-serif" w:hAnsi="Montserrat;sans-serif"/>
          <w:color w:val="000000"/>
          <w:sz w:val="18"/>
          <w:u w:val="single"/>
        </w:rPr>
        <w:t>Death of Participant</w:t>
      </w:r>
      <w:r>
        <w:rPr>
          <w:rFonts w:ascii="Montserrat;sans-serif" w:hAnsi="Montserrat;sans-serif"/>
          <w:color w:val="000000"/>
          <w:sz w:val="18"/>
        </w:rPr>
        <w:t xml:space="preserve">.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the Administrator has permitted the designation of a beneficiary and provided such beneficiary has been designated prior to Participant’s death in a form acceptable to the Administrator. If the Administrator has not permitted the designation of a beneficiary 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the Participant’s death. Unless otherwise provided by the Administrator, if at the time of death the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 </w:t>
      </w:r>
    </w:p>
    <w:p>
      <w:pPr>
        <w:pStyle w:val="TextBody"/>
        <w:bidi w:val="0"/>
        <w:spacing w:before="120" w:after="283"/>
        <w:ind w:left="0" w:right="0" w:firstLine="1440"/>
        <w:jc w:val="both"/>
        <w:rPr>
          <w:rFonts w:ascii="Montserrat;sans-serif" w:hAnsi="Montserrat;sans-serif"/>
          <w:sz w:val="18"/>
        </w:rPr>
      </w:pPr>
      <w:r>
        <w:rPr>
          <w:rFonts w:ascii="Montserrat;sans-serif" w:hAnsi="Montserrat;sans-serif"/>
          <w:color w:val="000000"/>
          <w:sz w:val="18"/>
        </w:rPr>
        <w:t xml:space="preserve">(v) </w:t>
      </w:r>
      <w:r>
        <w:rPr>
          <w:rFonts w:ascii="Montserrat;sans-serif" w:hAnsi="Montserrat;sans-serif"/>
          <w:color w:val="000000"/>
          <w:sz w:val="18"/>
          <w:u w:val="single"/>
        </w:rPr>
        <w:t>Tolling of Expiration</w:t>
      </w:r>
      <w:r>
        <w:rPr>
          <w:rFonts w:ascii="Montserrat;sans-serif" w:hAnsi="Montserrat;sans-serif"/>
          <w:color w:val="000000"/>
          <w:sz w:val="18"/>
        </w:rPr>
        <w:t>. A Participant’s Award Agreement may also provide that:</w:t>
      </w:r>
    </w:p>
    <w:p>
      <w:pPr>
        <w:pStyle w:val="TextBody"/>
        <w:bidi w:val="0"/>
        <w:spacing w:lineRule="auto" w:line="360" w:before="120" w:after="283"/>
        <w:ind w:left="0" w:right="0" w:firstLine="2160"/>
        <w:jc w:val="both"/>
        <w:rPr>
          <w:rFonts w:ascii="Montserrat;sans-serif" w:hAnsi="Montserrat;sans-serif"/>
          <w:sz w:val="12"/>
        </w:rPr>
      </w:pPr>
      <w:r>
        <w:rPr>
          <w:rFonts w:ascii="Montserrat;sans-serif" w:hAnsi="Montserrat;sans-serif"/>
          <w:color w:val="000000"/>
          <w:sz w:val="18"/>
        </w:rPr>
        <w:t>(1) if the exercise of the Option following the cessation of the Participant’s status as a Service Provider (other than upon the Participant’s death or Disability) would result in liability under Section 16(b), then the Option will terminate on the earlier of (A) the expiration of the term of the Option set forth in the Award Agreement, or (B) the tenth (10</w:t>
      </w:r>
      <w:r>
        <w:rPr>
          <w:rFonts w:ascii="Montserrat;sans-serif" w:hAnsi="Montserrat;sans-serif"/>
          <w:color w:val="000000"/>
          <w:sz w:val="12"/>
        </w:rPr>
        <w:t>th</w:t>
      </w:r>
      <w:r>
        <w:rPr>
          <w:rFonts w:ascii="Montserrat;sans-serif" w:hAnsi="Montserrat;sans-serif"/>
          <w:color w:val="000000"/>
          <w:sz w:val="18"/>
        </w:rPr>
        <w:t>) day after the last date on which such exercise would result in liability under Section 16(b); or</w:t>
      </w:r>
    </w:p>
    <w:p>
      <w:pPr>
        <w:pStyle w:val="TextBody"/>
        <w:bidi w:val="0"/>
        <w:spacing w:before="120" w:after="283"/>
        <w:ind w:left="0" w:right="0" w:firstLine="2160"/>
        <w:jc w:val="both"/>
        <w:rPr>
          <w:rFonts w:ascii="Montserrat;sans-serif" w:hAnsi="Montserrat;sans-serif"/>
          <w:color w:val="000000"/>
          <w:sz w:val="18"/>
        </w:rPr>
      </w:pPr>
      <w:r>
        <w:rPr>
          <w:rFonts w:ascii="Montserrat;sans-serif" w:hAnsi="Montserrat;sans-serif"/>
          <w:color w:val="000000"/>
          <w:sz w:val="18"/>
        </w:rPr>
        <w:t xml:space="preserve">(2) 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(A) the expiration of the term of the Option or (B) the expiration of a period of thirty (30) days after the cessation of the Participant’s status as a Service Provider during which the exercise of the Option would not be in violation of such registration requirements. </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 xml:space="preserve">7. </w:t>
      </w:r>
      <w:r>
        <w:rPr>
          <w:rFonts w:ascii="Montserrat;sans-serif" w:hAnsi="Montserrat;sans-serif"/>
          <w:color w:val="000000"/>
          <w:sz w:val="18"/>
          <w:u w:val="single"/>
        </w:rPr>
        <w:t>Restricted Stock</w:t>
      </w:r>
      <w:r>
        <w:rPr>
          <w:rFonts w:ascii="Montserrat;sans-serif" w:hAnsi="Montserrat;sans-serif"/>
          <w:color w:val="000000"/>
          <w:sz w:val="18"/>
        </w:rPr>
        <w:t>.</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(a) </w:t>
      </w:r>
      <w:r>
        <w:rPr>
          <w:rFonts w:ascii="Montserrat;sans-serif" w:hAnsi="Montserrat;sans-serif"/>
          <w:color w:val="000000"/>
          <w:sz w:val="18"/>
          <w:u w:val="single"/>
        </w:rPr>
        <w:t>Grant of Restricted Stock</w:t>
      </w:r>
      <w:r>
        <w:rPr>
          <w:rFonts w:ascii="Montserrat;sans-serif" w:hAnsi="Montserrat;sans-serif"/>
          <w:color w:val="000000"/>
          <w:sz w:val="18"/>
        </w:rPr>
        <w:t>. Subject to the terms and provisions of the Plan, the Administrator, at any time and from time to time, may grant Shares of Restricted Stock to Service Providers in such amounts as the Administrator, in its sole discretion, will determine.</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(b) </w:t>
      </w:r>
      <w:r>
        <w:rPr>
          <w:rFonts w:ascii="Montserrat;sans-serif" w:hAnsi="Montserrat;sans-serif"/>
          <w:color w:val="000000"/>
          <w:sz w:val="18"/>
          <w:u w:val="single"/>
        </w:rPr>
        <w:t>Restricted Stock Agreement</w:t>
      </w:r>
      <w:r>
        <w:rPr>
          <w:rFonts w:ascii="Montserrat;sans-serif" w:hAnsi="Montserrat;sans-serif"/>
          <w:color w:val="000000"/>
          <w:sz w:val="18"/>
        </w:rPr>
        <w:t>. Each Award of Restricted Stock will be evidenced by an Award Agreement that will specify the Period of Restriction (if any),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(c) </w:t>
      </w:r>
      <w:r>
        <w:rPr>
          <w:rFonts w:ascii="Montserrat;sans-serif" w:hAnsi="Montserrat;sans-serif"/>
          <w:color w:val="000000"/>
          <w:sz w:val="18"/>
          <w:u w:val="single"/>
        </w:rPr>
        <w:t>Transferability</w:t>
      </w:r>
      <w:r>
        <w:rPr>
          <w:rFonts w:ascii="Montserrat;sans-serif" w:hAnsi="Montserrat;sans-serif"/>
          <w:color w:val="000000"/>
          <w:sz w:val="18"/>
        </w:rPr>
        <w:t>. Except as otherwise provided in this Section 7, by the Administrator, or under the Award Agreement, Shares of Restricted Stock may not be sold, transferred, pledged, assigned, or otherwise alienated or hypothecated until the end of any applicable Period of Restriction.</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(d) </w:t>
      </w:r>
      <w:r>
        <w:rPr>
          <w:rFonts w:ascii="Montserrat;sans-serif" w:hAnsi="Montserrat;sans-serif"/>
          <w:color w:val="000000"/>
          <w:sz w:val="18"/>
          <w:u w:val="single"/>
        </w:rPr>
        <w:t>Other Restrictions</w:t>
      </w:r>
      <w:r>
        <w:rPr>
          <w:rFonts w:ascii="Montserrat;sans-serif" w:hAnsi="Montserrat;sans-serif"/>
          <w:color w:val="000000"/>
          <w:sz w:val="18"/>
        </w:rPr>
        <w:t>. The Administrator, in its sole discretion, may impose such other restrictions on Shares of Restricted Stock as it may deem advisable or appropriate.</w:t>
      </w:r>
    </w:p>
    <w:p>
      <w:pPr>
        <w:pStyle w:val="TextBody"/>
        <w:bidi w:val="0"/>
        <w:jc w:val="both"/>
        <w:rPr/>
      </w:pPr>
      <w:r>
        <w:rPr/>
        <w:t> </w:t>
      </w:r>
    </w:p>
    <w:tbl>
      <w:tblPr>
        <w:tblW w:w="3017" w:type="dxa"/>
        <w:jc w:val="left"/>
        <w:tblInd w:w="0" w:type="dxa"/>
        <w:tblLayout w:type="fixed"/>
        <w:tblCellMar>
          <w:top w:w="28" w:type="dxa"/>
          <w:left w:w="28" w:type="dxa"/>
          <w:bottom w:w="28" w:type="dxa"/>
          <w:right w:w="28" w:type="dxa"/>
        </w:tblCellMar>
      </w:tblPr>
      <w:tblGrid>
        <w:gridCol w:w="346"/>
        <w:gridCol w:w="2671"/>
      </w:tblGrid>
      <w:tr>
        <w:trPr/>
        <w:tc>
          <w:tcPr>
            <w:tcW w:w="346"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4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B-8</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253"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244" descr=""/>
                          <pic:cNvPicPr>
                            <a:picLocks noChangeAspect="1" noChangeArrowheads="1"/>
                          </pic:cNvPicPr>
                        </pic:nvPicPr>
                        <pic:blipFill>
                          <a:blip r:embed="rId246"/>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rFonts w:ascii="Montserrat;sans-serif" w:hAnsi="Montserrat;sans-serif"/>
          <w:color w:val="000000"/>
          <w:sz w:val="13"/>
        </w:rPr>
      </w:pPr>
      <w:r>
        <w:rPr>
          <w:rFonts w:ascii="Montserrat;sans-serif" w:hAnsi="Montserrat;sans-serif"/>
          <w:color w:val="000000"/>
          <w:sz w:val="13"/>
        </w:rPr>
        <w:t>Appendix B</w:t>
        <w:br/>
        <w:t>Amended and Restated 2016 Equity Incentive Plan</w:t>
      </w:r>
    </w:p>
    <w:p>
      <w:pPr>
        <w:pStyle w:val="TextBody"/>
        <w:bidi w:val="0"/>
        <w:jc w:val="right"/>
        <w:rPr/>
      </w:pPr>
      <w:r>
        <w:rPr/>
        <w:t> </w:t>
      </w:r>
    </w:p>
    <w:p>
      <w:pPr>
        <w:pStyle w:val="TextBody"/>
        <w:bidi w:val="0"/>
        <w:jc w:val="right"/>
        <w:rPr/>
      </w:pPr>
      <w:r>
        <w:rPr/>
        <w:t> </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(e) </w:t>
      </w:r>
      <w:r>
        <w:rPr>
          <w:rFonts w:ascii="Montserrat;sans-serif" w:hAnsi="Montserrat;sans-serif"/>
          <w:color w:val="000000"/>
          <w:sz w:val="18"/>
          <w:u w:val="single"/>
        </w:rPr>
        <w:t>Removal of Restrictions</w:t>
      </w:r>
      <w:r>
        <w:rPr>
          <w:rFonts w:ascii="Montserrat;sans-serif" w:hAnsi="Montserrat;sans-serif"/>
          <w:color w:val="000000"/>
          <w:sz w:val="18"/>
        </w:rPr>
        <w:t xml:space="preserve">.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 </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(f) </w:t>
      </w:r>
      <w:r>
        <w:rPr>
          <w:rFonts w:ascii="Montserrat;sans-serif" w:hAnsi="Montserrat;sans-serif"/>
          <w:color w:val="000000"/>
          <w:sz w:val="18"/>
          <w:u w:val="single"/>
        </w:rPr>
        <w:t>Voting Rights</w:t>
      </w:r>
      <w:r>
        <w:rPr>
          <w:rFonts w:ascii="Montserrat;sans-serif" w:hAnsi="Montserrat;sans-serif"/>
          <w:color w:val="000000"/>
          <w:sz w:val="18"/>
        </w:rPr>
        <w:t>. During any Period of Restriction, Service Providers holding Shares of Restricted Stock granted hereunder may exercise full voting rights with respect to those Shares, unless the Administrator determines otherwise.</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(g) </w:t>
      </w:r>
      <w:r>
        <w:rPr>
          <w:rFonts w:ascii="Montserrat;sans-serif" w:hAnsi="Montserrat;sans-serif"/>
          <w:color w:val="000000"/>
          <w:sz w:val="18"/>
          <w:u w:val="single"/>
        </w:rPr>
        <w:t>Return of Restricted Stock to Company</w:t>
      </w:r>
      <w:r>
        <w:rPr>
          <w:rFonts w:ascii="Montserrat;sans-serif" w:hAnsi="Montserrat;sans-serif"/>
          <w:color w:val="000000"/>
          <w:sz w:val="18"/>
        </w:rPr>
        <w:t>. On the date set forth in the Award Agreement, the Restricted Stock for which restrictions have not lapsed will revert to the Company and again will become available for grant under the Plan.</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 xml:space="preserve">8. </w:t>
      </w:r>
      <w:r>
        <w:rPr>
          <w:rFonts w:ascii="Montserrat;sans-serif" w:hAnsi="Montserrat;sans-serif"/>
          <w:color w:val="000000"/>
          <w:sz w:val="18"/>
          <w:u w:val="single"/>
        </w:rPr>
        <w:t>Restricted Stock Units</w:t>
      </w:r>
      <w:r>
        <w:rPr>
          <w:rFonts w:ascii="Montserrat;sans-serif" w:hAnsi="Montserrat;sans-serif"/>
          <w:color w:val="000000"/>
          <w:sz w:val="18"/>
        </w:rPr>
        <w:t>.</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(a) </w:t>
      </w:r>
      <w:r>
        <w:rPr>
          <w:rFonts w:ascii="Montserrat;sans-serif" w:hAnsi="Montserrat;sans-serif"/>
          <w:color w:val="000000"/>
          <w:sz w:val="18"/>
          <w:u w:val="single"/>
        </w:rPr>
        <w:t>Grant</w:t>
      </w:r>
      <w:r>
        <w:rPr>
          <w:rFonts w:ascii="Montserrat;sans-serif" w:hAnsi="Montserrat;sans-serif"/>
          <w:color w:val="000000"/>
          <w:sz w:val="18"/>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(b) </w:t>
      </w:r>
      <w:r>
        <w:rPr>
          <w:rFonts w:ascii="Montserrat;sans-serif" w:hAnsi="Montserrat;sans-serif"/>
          <w:color w:val="000000"/>
          <w:sz w:val="18"/>
          <w:u w:val="single"/>
        </w:rPr>
        <w:t>Vesting Criteria and Other Terms</w:t>
      </w:r>
      <w:r>
        <w:rPr>
          <w:rFonts w:ascii="Montserrat;sans-serif" w:hAnsi="Montserrat;sans-serif"/>
          <w:color w:val="000000"/>
          <w:sz w:val="18"/>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(c) </w:t>
      </w:r>
      <w:r>
        <w:rPr>
          <w:rFonts w:ascii="Montserrat;sans-serif" w:hAnsi="Montserrat;sans-serif"/>
          <w:color w:val="000000"/>
          <w:sz w:val="18"/>
          <w:u w:val="single"/>
        </w:rPr>
        <w:t>Earning Restricted Stock Units</w:t>
      </w:r>
      <w:r>
        <w:rPr>
          <w:rFonts w:ascii="Montserrat;sans-serif" w:hAnsi="Montserrat;sans-serif"/>
          <w:color w:val="000000"/>
          <w:sz w:val="18"/>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(d) </w:t>
      </w:r>
      <w:r>
        <w:rPr>
          <w:rFonts w:ascii="Montserrat;sans-serif" w:hAnsi="Montserrat;sans-serif"/>
          <w:color w:val="000000"/>
          <w:sz w:val="18"/>
          <w:u w:val="single"/>
        </w:rPr>
        <w:t>Form and Timing of Payment</w:t>
      </w:r>
      <w:r>
        <w:rPr>
          <w:rFonts w:ascii="Montserrat;sans-serif" w:hAnsi="Montserrat;sans-serif"/>
          <w:color w:val="000000"/>
          <w:sz w:val="18"/>
        </w:rPr>
        <w:t>. Payment of earned Restricted Stock Units will be made as soon as practicable after the date(s) determined by the Administrator and set forth in the Award Agreement. The Administrator, in its sole discretion, may only settle earned Restricted Stock Units in cash, Shares, or a combination of both.</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(e) </w:t>
      </w:r>
      <w:r>
        <w:rPr>
          <w:rFonts w:ascii="Montserrat;sans-serif" w:hAnsi="Montserrat;sans-serif"/>
          <w:color w:val="000000"/>
          <w:sz w:val="18"/>
          <w:u w:val="single"/>
        </w:rPr>
        <w:t>Cancellation</w:t>
      </w:r>
      <w:r>
        <w:rPr>
          <w:rFonts w:ascii="Montserrat;sans-serif" w:hAnsi="Montserrat;sans-serif"/>
          <w:color w:val="000000"/>
          <w:sz w:val="18"/>
        </w:rPr>
        <w:t>. On the date set forth in the Award Agreement, all unearned Restricted Stock Units will be forfeited to the Company.</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 xml:space="preserve">9. </w:t>
      </w:r>
      <w:r>
        <w:rPr>
          <w:rFonts w:ascii="Montserrat;sans-serif" w:hAnsi="Montserrat;sans-serif"/>
          <w:color w:val="000000"/>
          <w:sz w:val="18"/>
          <w:u w:val="single"/>
        </w:rPr>
        <w:t>Stock Appreciation Rights</w:t>
      </w:r>
      <w:r>
        <w:rPr>
          <w:rFonts w:ascii="Montserrat;sans-serif" w:hAnsi="Montserrat;sans-serif"/>
          <w:color w:val="000000"/>
          <w:sz w:val="18"/>
        </w:rPr>
        <w:t xml:space="preserve">. </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(a) </w:t>
      </w:r>
      <w:r>
        <w:rPr>
          <w:rFonts w:ascii="Montserrat;sans-serif" w:hAnsi="Montserrat;sans-serif"/>
          <w:color w:val="000000"/>
          <w:sz w:val="18"/>
          <w:u w:val="single"/>
        </w:rPr>
        <w:t>Grant of Stock Appreciation Rights</w:t>
      </w:r>
      <w:r>
        <w:rPr>
          <w:rFonts w:ascii="Montserrat;sans-serif" w:hAnsi="Montserrat;sans-serif"/>
          <w:color w:val="000000"/>
          <w:sz w:val="18"/>
        </w:rPr>
        <w:t xml:space="preserve">. Subject to the terms and conditions of the Plan, a Stock Appreciation Right may be granted to Service Providers at any time and from time to time as will be determined by the Administrator, in its sole discretion. </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(b) </w:t>
      </w:r>
      <w:r>
        <w:rPr>
          <w:rFonts w:ascii="Montserrat;sans-serif" w:hAnsi="Montserrat;sans-serif"/>
          <w:color w:val="000000"/>
          <w:sz w:val="18"/>
          <w:u w:val="single"/>
        </w:rPr>
        <w:t>Number of Shares</w:t>
      </w:r>
      <w:r>
        <w:rPr>
          <w:rFonts w:ascii="Montserrat;sans-serif" w:hAnsi="Montserrat;sans-serif"/>
          <w:color w:val="000000"/>
          <w:sz w:val="18"/>
        </w:rPr>
        <w:t>. The Administrator will have complete discretion to determine the number of Stock Appreciation Rights granted to any Service Provider.</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(c) </w:t>
      </w:r>
      <w:r>
        <w:rPr>
          <w:rFonts w:ascii="Montserrat;sans-serif" w:hAnsi="Montserrat;sans-serif"/>
          <w:color w:val="000000"/>
          <w:sz w:val="18"/>
          <w:u w:val="single"/>
        </w:rPr>
        <w:t>Exercise Price and Other Terms</w:t>
      </w:r>
      <w:r>
        <w:rPr>
          <w:rFonts w:ascii="Montserrat;sans-serif" w:hAnsi="Montserrat;sans-serif"/>
          <w:color w:val="000000"/>
          <w:sz w:val="18"/>
        </w:rPr>
        <w:t>. The per share exercise price for the Shares to be issued pursuant to exercise of a Stock Appreciation Right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(d) </w:t>
      </w:r>
      <w:r>
        <w:rPr>
          <w:rFonts w:ascii="Montserrat;sans-serif" w:hAnsi="Montserrat;sans-serif"/>
          <w:color w:val="000000"/>
          <w:sz w:val="18"/>
          <w:u w:val="single"/>
        </w:rPr>
        <w:t>Stock Appreciation Right Agreement</w:t>
      </w:r>
      <w:r>
        <w:rPr>
          <w:rFonts w:ascii="Montserrat;sans-serif" w:hAnsi="Montserrat;sans-serif"/>
          <w:color w:val="000000"/>
          <w:sz w:val="18"/>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(e) </w:t>
      </w:r>
      <w:r>
        <w:rPr>
          <w:rFonts w:ascii="Montserrat;sans-serif" w:hAnsi="Montserrat;sans-serif"/>
          <w:color w:val="000000"/>
          <w:sz w:val="18"/>
          <w:u w:val="single"/>
        </w:rPr>
        <w:t>Expiration of Stock Appreciation Rights</w:t>
      </w:r>
      <w:r>
        <w:rPr>
          <w:rFonts w:ascii="Montserrat;sans-serif" w:hAnsi="Montserrat;sans-serif"/>
          <w:color w:val="000000"/>
          <w:sz w:val="18"/>
        </w:rPr>
        <w:t>. A Stock Appreciation Right granted under the Plan will expire upon the date determined by the Administrator, in its sole discretion, and set forth in the Award Agreement. Notwithstanding the foregoing, the rules of Section 6(b) relating to the maximum term and Section 6(d) relating to exercise, expiration and tolling also will apply to Stock Appreciation Rights.</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(f) </w:t>
      </w:r>
      <w:r>
        <w:rPr>
          <w:rFonts w:ascii="Montserrat;sans-serif" w:hAnsi="Montserrat;sans-serif"/>
          <w:color w:val="000000"/>
          <w:sz w:val="18"/>
          <w:u w:val="single"/>
        </w:rPr>
        <w:t>Payment of Stock Appreciation Right Amount</w:t>
      </w:r>
      <w:r>
        <w:rPr>
          <w:rFonts w:ascii="Montserrat;sans-serif" w:hAnsi="Montserrat;sans-serif"/>
          <w:color w:val="000000"/>
          <w:sz w:val="18"/>
        </w:rPr>
        <w:t>. Upon exercise of a Stock Appreciation Right, a Participant will be entitled to receive payment from the Company in an amount determined by multiplying:</w:t>
      </w:r>
    </w:p>
    <w:p>
      <w:pPr>
        <w:pStyle w:val="TextBody"/>
        <w:bidi w:val="0"/>
        <w:jc w:val="both"/>
        <w:rPr/>
      </w:pPr>
      <w:r>
        <w:rPr/>
        <w:t> </w:t>
      </w:r>
    </w:p>
    <w:tbl>
      <w:tblPr>
        <w:tblW w:w="3017" w:type="dxa"/>
        <w:jc w:val="left"/>
        <w:tblInd w:w="0" w:type="dxa"/>
        <w:tblLayout w:type="fixed"/>
        <w:tblCellMar>
          <w:top w:w="28" w:type="dxa"/>
          <w:left w:w="28" w:type="dxa"/>
          <w:bottom w:w="28" w:type="dxa"/>
          <w:right w:w="28" w:type="dxa"/>
        </w:tblCellMar>
      </w:tblPr>
      <w:tblGrid>
        <w:gridCol w:w="2641"/>
        <w:gridCol w:w="376"/>
      </w:tblGrid>
      <w:tr>
        <w:trPr/>
        <w:tc>
          <w:tcPr>
            <w:tcW w:w="264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254"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45" descr=""/>
                          <pic:cNvPicPr>
                            <a:picLocks noChangeAspect="1" noChangeArrowheads="1"/>
                          </pic:cNvPicPr>
                        </pic:nvPicPr>
                        <pic:blipFill>
                          <a:blip r:embed="rId247"/>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376"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B-9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rFonts w:ascii="Montserrat;sans-serif" w:hAnsi="Montserrat;sans-serif"/>
          <w:color w:val="000000"/>
          <w:sz w:val="13"/>
        </w:rPr>
      </w:pPr>
      <w:r>
        <w:rPr>
          <w:rFonts w:ascii="Montserrat;sans-serif" w:hAnsi="Montserrat;sans-serif"/>
          <w:color w:val="000000"/>
          <w:sz w:val="13"/>
        </w:rPr>
        <w:t>Appendix B</w:t>
        <w:br/>
        <w:t>Amended and Restated 2016 Equity Incentive Plan</w:t>
      </w:r>
    </w:p>
    <w:p>
      <w:pPr>
        <w:pStyle w:val="TextBody"/>
        <w:bidi w:val="0"/>
        <w:jc w:val="left"/>
        <w:rPr/>
      </w:pPr>
      <w:r>
        <w:rPr/>
        <w:t> </w:t>
      </w:r>
    </w:p>
    <w:p>
      <w:pPr>
        <w:pStyle w:val="TextBody"/>
        <w:bidi w:val="0"/>
        <w:jc w:val="left"/>
        <w:rPr/>
      </w:pPr>
      <w:r>
        <w:rPr/>
        <w:t> </w:t>
      </w:r>
    </w:p>
    <w:p>
      <w:pPr>
        <w:pStyle w:val="TextBody"/>
        <w:bidi w:val="0"/>
        <w:spacing w:before="120" w:after="283"/>
        <w:ind w:left="0" w:right="0" w:firstLine="1440"/>
        <w:jc w:val="both"/>
        <w:rPr>
          <w:rFonts w:ascii="Montserrat;sans-serif" w:hAnsi="Montserrat;sans-serif"/>
          <w:color w:val="000000"/>
          <w:sz w:val="18"/>
        </w:rPr>
      </w:pPr>
      <w:r>
        <w:rPr>
          <w:rFonts w:ascii="Montserrat;sans-serif" w:hAnsi="Montserrat;sans-serif"/>
          <w:color w:val="000000"/>
          <w:sz w:val="18"/>
        </w:rPr>
        <w:t>(i) The difference between the Fair Market Value of a Share on the date of exercise over the exercise price; times</w:t>
      </w:r>
    </w:p>
    <w:p>
      <w:pPr>
        <w:pStyle w:val="TextBody"/>
        <w:bidi w:val="0"/>
        <w:spacing w:before="120" w:after="283"/>
        <w:ind w:left="0" w:right="0" w:firstLine="1440"/>
        <w:jc w:val="both"/>
        <w:rPr>
          <w:rFonts w:ascii="Montserrat;sans-serif" w:hAnsi="Montserrat;sans-serif"/>
          <w:color w:val="000000"/>
          <w:sz w:val="18"/>
        </w:rPr>
      </w:pPr>
      <w:r>
        <w:rPr>
          <w:rFonts w:ascii="Montserrat;sans-serif" w:hAnsi="Montserrat;sans-serif"/>
          <w:color w:val="000000"/>
          <w:sz w:val="18"/>
        </w:rPr>
        <w:t>(ii) The number of Shares with respect to which the Stock Appreciation Right is exercised.</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At the discretion of the Administrator, the payment upon Stock Appreciation Right exercise may be in cash, in Shares of equivalent value, or in some combination thereof.</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 xml:space="preserve">10. </w:t>
      </w:r>
      <w:r>
        <w:rPr>
          <w:rFonts w:ascii="Montserrat;sans-serif" w:hAnsi="Montserrat;sans-serif"/>
          <w:color w:val="000000"/>
          <w:sz w:val="18"/>
          <w:u w:val="single"/>
        </w:rPr>
        <w:t>Performance Units and Performance Shares</w:t>
      </w:r>
      <w:r>
        <w:rPr>
          <w:rFonts w:ascii="Montserrat;sans-serif" w:hAnsi="Montserrat;sans-serif"/>
          <w:color w:val="000000"/>
          <w:sz w:val="18"/>
        </w:rPr>
        <w:t xml:space="preserve">. </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(a) </w:t>
      </w:r>
      <w:r>
        <w:rPr>
          <w:rFonts w:ascii="Montserrat;sans-serif" w:hAnsi="Montserrat;sans-serif"/>
          <w:color w:val="000000"/>
          <w:sz w:val="18"/>
          <w:u w:val="single"/>
        </w:rPr>
        <w:t>Grant of Performance Units/Shares</w:t>
      </w:r>
      <w:r>
        <w:rPr>
          <w:rFonts w:ascii="Montserrat;sans-serif" w:hAnsi="Montserrat;sans-serif"/>
          <w:color w:val="000000"/>
          <w:sz w:val="18"/>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(b) </w:t>
      </w:r>
      <w:r>
        <w:rPr>
          <w:rFonts w:ascii="Montserrat;sans-serif" w:hAnsi="Montserrat;sans-serif"/>
          <w:color w:val="000000"/>
          <w:sz w:val="18"/>
          <w:u w:val="single"/>
        </w:rPr>
        <w:t>Value of Performance Units/Shares</w:t>
      </w:r>
      <w:r>
        <w:rPr>
          <w:rFonts w:ascii="Montserrat;sans-serif" w:hAnsi="Montserrat;sans-serif"/>
          <w:color w:val="000000"/>
          <w:sz w:val="18"/>
        </w:rPr>
        <w:t>. Each Performance Unit will have an initial value that is established by the Administrator on or before the date of grant. Each Performance Share will have an initial value equal to the Fair Market Value of a Share on the date of grant.</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(c) </w:t>
      </w:r>
      <w:r>
        <w:rPr>
          <w:rFonts w:ascii="Montserrat;sans-serif" w:hAnsi="Montserrat;sans-serif"/>
          <w:color w:val="000000"/>
          <w:sz w:val="18"/>
          <w:u w:val="single"/>
        </w:rPr>
        <w:t>Performance Objectives and Other Terms</w:t>
      </w:r>
      <w:r>
        <w:rPr>
          <w:rFonts w:ascii="Montserrat;sans-serif" w:hAnsi="Montserrat;sans-serif"/>
          <w:color w:val="000000"/>
          <w:sz w:val="18"/>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business unit or individual goals (including, but not limited to, continued employment or service), applicable federal or state securities laws, or any other basis determined by the Administrator in its discretion.</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(d) </w:t>
      </w:r>
      <w:r>
        <w:rPr>
          <w:rFonts w:ascii="Montserrat;sans-serif" w:hAnsi="Montserrat;sans-serif"/>
          <w:color w:val="000000"/>
          <w:sz w:val="18"/>
          <w:u w:val="single"/>
        </w:rPr>
        <w:t>Earning of Performance Units/Shares</w:t>
      </w:r>
      <w:r>
        <w:rPr>
          <w:rFonts w:ascii="Montserrat;sans-serif" w:hAnsi="Montserrat;sans-serif"/>
          <w:color w:val="000000"/>
          <w:sz w:val="18"/>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(e) </w:t>
      </w:r>
      <w:r>
        <w:rPr>
          <w:rFonts w:ascii="Montserrat;sans-serif" w:hAnsi="Montserrat;sans-serif"/>
          <w:color w:val="000000"/>
          <w:sz w:val="18"/>
          <w:u w:val="single"/>
        </w:rPr>
        <w:t>Form and Timing of Payment of Performance Units/Shares</w:t>
      </w:r>
      <w:r>
        <w:rPr>
          <w:rFonts w:ascii="Montserrat;sans-serif" w:hAnsi="Montserrat;sans-serif"/>
          <w:color w:val="000000"/>
          <w:sz w:val="18"/>
        </w:rPr>
        <w:t>.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(f) </w:t>
      </w:r>
      <w:r>
        <w:rPr>
          <w:rFonts w:ascii="Montserrat;sans-serif" w:hAnsi="Montserrat;sans-serif"/>
          <w:color w:val="000000"/>
          <w:sz w:val="18"/>
          <w:u w:val="single"/>
        </w:rPr>
        <w:t>Cancellation of Performance Units/Shares</w:t>
      </w:r>
      <w:r>
        <w:rPr>
          <w:rFonts w:ascii="Montserrat;sans-serif" w:hAnsi="Montserrat;sans-serif"/>
          <w:color w:val="000000"/>
          <w:sz w:val="18"/>
        </w:rPr>
        <w:t>. On the date set forth in the Award Agreement, all unearned or unvested Performance Units/Shares will be forfeited to the Company, and again will be available for grant under the Plan.</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 xml:space="preserve">11. </w:t>
      </w:r>
      <w:r>
        <w:rPr>
          <w:rFonts w:ascii="Montserrat;sans-serif" w:hAnsi="Montserrat;sans-serif"/>
          <w:color w:val="000000"/>
          <w:sz w:val="18"/>
          <w:u w:val="single"/>
        </w:rPr>
        <w:t>Limitations</w:t>
      </w:r>
      <w:r>
        <w:rPr>
          <w:rFonts w:ascii="Montserrat;sans-serif" w:hAnsi="Montserrat;sans-serif"/>
          <w:color w:val="000000"/>
          <w:sz w:val="18"/>
        </w:rPr>
        <w:t>.</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(a) </w:t>
      </w:r>
      <w:r>
        <w:rPr>
          <w:rFonts w:ascii="Montserrat;sans-serif" w:hAnsi="Montserrat;sans-serif"/>
          <w:color w:val="000000"/>
          <w:sz w:val="18"/>
          <w:u w:val="single"/>
        </w:rPr>
        <w:t>No Exchange Program</w:t>
      </w:r>
      <w:r>
        <w:rPr>
          <w:rFonts w:ascii="Montserrat;sans-serif" w:hAnsi="Montserrat;sans-serif"/>
          <w:color w:val="000000"/>
          <w:sz w:val="18"/>
        </w:rPr>
        <w:t>. Notwithstanding the powers of the Administrator set forth herein, the Administrator may not institute an Exchange Program without stockholder approval.</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(b) </w:t>
      </w:r>
      <w:r>
        <w:rPr>
          <w:rFonts w:ascii="Montserrat;sans-serif" w:hAnsi="Montserrat;sans-serif"/>
          <w:color w:val="000000"/>
          <w:sz w:val="18"/>
          <w:u w:val="single"/>
        </w:rPr>
        <w:t>Dividends</w:t>
      </w:r>
      <w:r>
        <w:rPr>
          <w:rFonts w:ascii="Montserrat;sans-serif" w:hAnsi="Montserrat;sans-serif"/>
          <w:color w:val="000000"/>
          <w:sz w:val="18"/>
        </w:rPr>
        <w:t>. Dividends or other distributions payable with respect to Shares subject to Awards will not be paid before and unless the underlying Shares vest. No dividends or other distributions will be paid with respect to Shares that are subject to unexercised Options or Stock Appreciation Rights.</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(c) </w:t>
      </w:r>
      <w:r>
        <w:rPr>
          <w:rFonts w:ascii="Montserrat;sans-serif" w:hAnsi="Montserrat;sans-serif"/>
          <w:color w:val="000000"/>
          <w:sz w:val="18"/>
          <w:u w:val="single"/>
        </w:rPr>
        <w:t>Outside Director Limitations</w:t>
      </w:r>
      <w:r>
        <w:rPr>
          <w:rFonts w:ascii="Montserrat;sans-serif" w:hAnsi="Montserrat;sans-serif"/>
          <w:color w:val="000000"/>
          <w:sz w:val="18"/>
        </w:rPr>
        <w:t>. In any Fiscal Year, no Outside Director may be granted equity awards (including any Awards granted under this Plan), the value of which will be based on their grant date fair value determined in accordance with U.S. generally accepted accounting principles, and be provided any cash retainers or annual or meeting fees for service as an Outside Director in amounts that, in the aggregate, exceed $750,000, provided that such amount is increased to $1,500,000 in the Fiscal Year of his or her initial service as an Outside Director. Any Awards or other compensation provided to an individual for his or her services as an Employee, or for his or her services as a Consultant other than as an Outside Director, will be excluded for purposes of this Section 11(c).</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 xml:space="preserve">12. </w:t>
      </w:r>
      <w:r>
        <w:rPr>
          <w:rFonts w:ascii="Montserrat;sans-serif" w:hAnsi="Montserrat;sans-serif"/>
          <w:color w:val="000000"/>
          <w:sz w:val="18"/>
          <w:u w:val="single"/>
        </w:rPr>
        <w:t>Leaves of Absence/Transfer Between Locations</w:t>
      </w:r>
      <w:r>
        <w:rPr>
          <w:rFonts w:ascii="Montserrat;sans-serif" w:hAnsi="Montserrat;sans-serif"/>
          <w:color w:val="000000"/>
          <w:sz w:val="18"/>
        </w:rPr>
        <w:t xml:space="preserve">. Unless provided otherwise by the Administrator, in the event of a Participant’s leave of absence, vesting of Awards granted hereunder will be treated as set forth in the Company’s </w:t>
      </w:r>
    </w:p>
    <w:p>
      <w:pPr>
        <w:pStyle w:val="TextBody"/>
        <w:bidi w:val="0"/>
        <w:jc w:val="both"/>
        <w:rPr/>
      </w:pPr>
      <w:r>
        <w:rPr/>
        <w:t> </w:t>
      </w:r>
    </w:p>
    <w:tbl>
      <w:tblPr>
        <w:tblW w:w="3107" w:type="dxa"/>
        <w:jc w:val="left"/>
        <w:tblInd w:w="0" w:type="dxa"/>
        <w:tblLayout w:type="fixed"/>
        <w:tblCellMar>
          <w:top w:w="28" w:type="dxa"/>
          <w:left w:w="28" w:type="dxa"/>
          <w:bottom w:w="28" w:type="dxa"/>
          <w:right w:w="28" w:type="dxa"/>
        </w:tblCellMar>
      </w:tblPr>
      <w:tblGrid>
        <w:gridCol w:w="436"/>
        <w:gridCol w:w="2671"/>
      </w:tblGrid>
      <w:tr>
        <w:trPr/>
        <w:tc>
          <w:tcPr>
            <w:tcW w:w="436"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43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B-10</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255"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246" descr=""/>
                          <pic:cNvPicPr>
                            <a:picLocks noChangeAspect="1" noChangeArrowheads="1"/>
                          </pic:cNvPicPr>
                        </pic:nvPicPr>
                        <pic:blipFill>
                          <a:blip r:embed="rId248"/>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rFonts w:ascii="Montserrat;sans-serif" w:hAnsi="Montserrat;sans-serif"/>
          <w:color w:val="000000"/>
          <w:sz w:val="13"/>
        </w:rPr>
      </w:pPr>
      <w:r>
        <w:rPr>
          <w:rFonts w:ascii="Montserrat;sans-serif" w:hAnsi="Montserrat;sans-serif"/>
          <w:color w:val="000000"/>
          <w:sz w:val="13"/>
        </w:rPr>
        <w:t>Appendix B</w:t>
        <w:br/>
        <w:t>Amended and Restated 2016 Equity Incentive Plan</w:t>
      </w:r>
    </w:p>
    <w:p>
      <w:pPr>
        <w:pStyle w:val="TextBody"/>
        <w:bidi w:val="0"/>
        <w:jc w:val="right"/>
        <w:rPr/>
      </w:pPr>
      <w:r>
        <w:rPr/>
        <w:t> </w:t>
      </w:r>
    </w:p>
    <w:p>
      <w:pPr>
        <w:pStyle w:val="TextBody"/>
        <w:bidi w:val="0"/>
        <w:jc w:val="right"/>
        <w:rPr/>
      </w:pPr>
      <w:r>
        <w:rPr/>
        <w:t> </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applicable equity leave of absence policy. A Participant will not cease to be an Employee in the case of (x) any leave of absence approved by the Company or (y)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(1st) day of such leave any Incentive Stock Option held by the Participant will cease to be treated as an Incentive Stock Option and will be treated for tax purposes as a Nonstatutory Stock Option.</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 xml:space="preserve">13. </w:t>
      </w:r>
      <w:r>
        <w:rPr>
          <w:rFonts w:ascii="Montserrat;sans-serif" w:hAnsi="Montserrat;sans-serif"/>
          <w:color w:val="000000"/>
          <w:sz w:val="18"/>
          <w:u w:val="single"/>
        </w:rPr>
        <w:t>Transferability of Awards</w:t>
      </w:r>
      <w:r>
        <w:rPr>
          <w:rFonts w:ascii="Montserrat;sans-serif" w:hAnsi="Montserrat;sans-serif"/>
          <w:color w:val="000000"/>
          <w:sz w:val="18"/>
        </w:rPr>
        <w:t xml:space="preserve">. </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(a) </w:t>
      </w:r>
      <w:r>
        <w:rPr>
          <w:rFonts w:ascii="Montserrat;sans-serif" w:hAnsi="Montserrat;sans-serif"/>
          <w:color w:val="000000"/>
          <w:sz w:val="18"/>
          <w:u w:val="single"/>
        </w:rPr>
        <w:t>General Rule</w:t>
      </w:r>
      <w:r>
        <w:rPr>
          <w:rFonts w:ascii="Montserrat;sans-serif" w:hAnsi="Montserrat;sans-serif"/>
          <w:color w:val="000000"/>
          <w:sz w:val="18"/>
        </w:rPr>
        <w:t>. Unless determined otherwise by the Administrator, as provided under the applicable Award Agreement or required by Applicable Laws,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(b) </w:t>
      </w:r>
      <w:r>
        <w:rPr>
          <w:rFonts w:ascii="Montserrat;sans-serif" w:hAnsi="Montserrat;sans-serif"/>
          <w:color w:val="000000"/>
          <w:sz w:val="18"/>
          <w:u w:val="single"/>
        </w:rPr>
        <w:t>Domestic Relations Orders</w:t>
      </w:r>
      <w:r>
        <w:rPr>
          <w:rFonts w:ascii="Montserrat;sans-serif" w:hAnsi="Montserrat;sans-serif"/>
          <w:color w:val="000000"/>
          <w:sz w:val="18"/>
        </w:rPr>
        <w:t>. If approved by the Administrator, an Award may be transferred pursuant to the terms of a domestic relations order, official marital settlement agreement or other divorce or separation instrument. An Incentive Stock Option may be transferred only as permitted by Treasury Regulations Section 1.421-1(b)(2) and may be deemed to be a Nonstatutory Stock Option as a result of such transfer.</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(c) </w:t>
      </w:r>
      <w:r>
        <w:rPr>
          <w:rFonts w:ascii="Montserrat;sans-serif" w:hAnsi="Montserrat;sans-serif"/>
          <w:color w:val="000000"/>
          <w:sz w:val="18"/>
          <w:u w:val="single"/>
        </w:rPr>
        <w:t>Limited Transfers for the Benefit of Family Members</w:t>
      </w:r>
      <w:r>
        <w:rPr>
          <w:rFonts w:ascii="Montserrat;sans-serif" w:hAnsi="Montserrat;sans-serif"/>
          <w:color w:val="000000"/>
          <w:sz w:val="18"/>
        </w:rPr>
        <w:t>. The Administrator may permit an Award or Share issued under this Plan to be assigned or transferred subject to the applicable limitations, set forth in the General Instructions to Form S-8 Registration Statement under the Securities Act, if applicable, and any other Applicable Laws. For the avoidance of doubt, during the lifetime of the Participant, no Award may be assigned or transferred to a third-party financial institution.</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(d) </w:t>
      </w:r>
      <w:r>
        <w:rPr>
          <w:rFonts w:ascii="Montserrat;sans-serif" w:hAnsi="Montserrat;sans-serif"/>
          <w:color w:val="000000"/>
          <w:sz w:val="18"/>
          <w:u w:val="single"/>
        </w:rPr>
        <w:t>Permitted Transferees</w:t>
      </w:r>
      <w:r>
        <w:rPr>
          <w:rFonts w:ascii="Montserrat;sans-serif" w:hAnsi="Montserrat;sans-serif"/>
          <w:color w:val="000000"/>
          <w:sz w:val="18"/>
        </w:rPr>
        <w:t>. Any individual or entity to whom an Award is transferred will be subject to all of the terms and conditions applicable to the Participant who transferred the Award, including the terms and conditions in this Plan and the Award Agreement. If an Award is unvested, then the service of the Participant will continue to determine whether the Award will vest and when it will terminate.</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 xml:space="preserve">14. </w:t>
      </w:r>
      <w:r>
        <w:rPr>
          <w:rFonts w:ascii="Montserrat;sans-serif" w:hAnsi="Montserrat;sans-serif"/>
          <w:color w:val="000000"/>
          <w:sz w:val="18"/>
          <w:u w:val="single"/>
        </w:rPr>
        <w:t>Adjustments; Dissolution or Liquidation; Merger or Change in Control</w:t>
      </w:r>
      <w:r>
        <w:rPr>
          <w:rFonts w:ascii="Montserrat;sans-serif" w:hAnsi="Montserrat;sans-serif"/>
          <w:color w:val="000000"/>
          <w:sz w:val="18"/>
        </w:rPr>
        <w:t>.</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(a) </w:t>
      </w:r>
      <w:r>
        <w:rPr>
          <w:rFonts w:ascii="Montserrat;sans-serif" w:hAnsi="Montserrat;sans-serif"/>
          <w:color w:val="000000"/>
          <w:sz w:val="18"/>
          <w:u w:val="single"/>
        </w:rPr>
        <w:t>Adjustments</w:t>
      </w:r>
      <w:r>
        <w:rPr>
          <w:rFonts w:ascii="Montserrat;sans-serif" w:hAnsi="Montserrat;sans-serif"/>
          <w:color w:val="000000"/>
          <w:sz w:val="18"/>
        </w:rPr>
        <w:t xml:space="preserve">.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the numerical Share limits in Section 3 of the Plan. </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(b) </w:t>
      </w:r>
      <w:r>
        <w:rPr>
          <w:rFonts w:ascii="Montserrat;sans-serif" w:hAnsi="Montserrat;sans-serif"/>
          <w:color w:val="000000"/>
          <w:sz w:val="18"/>
          <w:u w:val="single"/>
        </w:rPr>
        <w:t>Dissolution or Liquidation</w:t>
      </w:r>
      <w:r>
        <w:rPr>
          <w:rFonts w:ascii="Montserrat;sans-serif" w:hAnsi="Montserrat;sans-serif"/>
          <w:color w:val="000000"/>
          <w:sz w:val="18"/>
        </w:rPr>
        <w:t>. In the event of the proposed dissolution or liquidation of the Company, the Administrator will notify each Participant as soon as practicable prior to the effective date of such proposed transaction. To the extent it has not been previously exercised (with respect to an Option or Stock Appreciation Right) or vested (with respect to Awards other than an Option or Stock Appreciation Right), an Award will terminate immediately prior to the consummation of such proposed action.</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(c) </w:t>
      </w:r>
      <w:r>
        <w:rPr>
          <w:rFonts w:ascii="Montserrat;sans-serif" w:hAnsi="Montserrat;sans-serif"/>
          <w:color w:val="000000"/>
          <w:sz w:val="18"/>
          <w:u w:val="single"/>
        </w:rPr>
        <w:t>Change in Control</w:t>
      </w:r>
      <w:r>
        <w:rPr>
          <w:rFonts w:ascii="Montserrat;sans-serif" w:hAnsi="Montserrat;sans-serif"/>
          <w:color w:val="000000"/>
          <w:sz w:val="18"/>
        </w:rPr>
        <w:t>. In the event of a merger of the Company with or into another corporation or other entity or a Change in Control, each outstanding Award will be treated as the Administrator determines without a Participant’s consent, including, without limitation, that each Award be assumed or an equivalent option or right substituted by the successor corporation or a Parent or Subsidiary of the successor corporation. The Administrator will not be required to treat all Awards similarly in the transaction.</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 xml:space="preserve">In the event that the successor corporation does not assume or substitute for the Award (or portion thereof), the Participant will fully vest in and have the right to exercise such outstanding Option and Stock Appreciation Right, including Shares as to which such Award would not otherwise be vested or exercisable, all restrictions on such Restricted Stock and Restricted Stock Units will lapse, and, with respect to such Awards with performance-based vesting, all performance goals or other vesting criteria will be deemed achieved at one hundred percent (100%) of target levels and all other terms and conditions met, in each case, unless specifically provided otherwise under the applicable Award Agreement or other written agreement between Participant and the Company or any of its Subsidiaries, Parents, or Affiliates, as applicable. In addition, if an Option or Stock Appreciation Right is not assumed or substituted in the event of </w:t>
      </w:r>
    </w:p>
    <w:p>
      <w:pPr>
        <w:pStyle w:val="TextBody"/>
        <w:bidi w:val="0"/>
        <w:jc w:val="both"/>
        <w:rPr/>
      </w:pPr>
      <w:r>
        <w:rPr/>
        <w:t> </w:t>
      </w:r>
    </w:p>
    <w:tbl>
      <w:tblPr>
        <w:tblW w:w="3107" w:type="dxa"/>
        <w:jc w:val="left"/>
        <w:tblInd w:w="0" w:type="dxa"/>
        <w:tblLayout w:type="fixed"/>
        <w:tblCellMar>
          <w:top w:w="28" w:type="dxa"/>
          <w:left w:w="28" w:type="dxa"/>
          <w:bottom w:w="28" w:type="dxa"/>
          <w:right w:w="28" w:type="dxa"/>
        </w:tblCellMar>
      </w:tblPr>
      <w:tblGrid>
        <w:gridCol w:w="2641"/>
        <w:gridCol w:w="466"/>
      </w:tblGrid>
      <w:tr>
        <w:trPr/>
        <w:tc>
          <w:tcPr>
            <w:tcW w:w="264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256"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47" descr=""/>
                          <pic:cNvPicPr>
                            <a:picLocks noChangeAspect="1" noChangeArrowheads="1"/>
                          </pic:cNvPicPr>
                        </pic:nvPicPr>
                        <pic:blipFill>
                          <a:blip r:embed="rId249"/>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466"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B-11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rFonts w:ascii="Montserrat;sans-serif" w:hAnsi="Montserrat;sans-serif"/>
          <w:color w:val="000000"/>
          <w:sz w:val="13"/>
        </w:rPr>
      </w:pPr>
      <w:r>
        <w:rPr>
          <w:rFonts w:ascii="Montserrat;sans-serif" w:hAnsi="Montserrat;sans-serif"/>
          <w:color w:val="000000"/>
          <w:sz w:val="13"/>
        </w:rPr>
        <w:t>Appendix B</w:t>
        <w:br/>
        <w:t>Amended and Restated 2016 Equity Incentive Plan</w:t>
      </w:r>
    </w:p>
    <w:p>
      <w:pPr>
        <w:pStyle w:val="TextBody"/>
        <w:bidi w:val="0"/>
        <w:jc w:val="left"/>
        <w:rPr/>
      </w:pPr>
      <w:r>
        <w:rPr/>
        <w:t> </w:t>
      </w:r>
    </w:p>
    <w:p>
      <w:pPr>
        <w:pStyle w:val="TextBody"/>
        <w:bidi w:val="0"/>
        <w:jc w:val="left"/>
        <w:rPr/>
      </w:pPr>
      <w:r>
        <w:rPr/>
        <w:t> </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a merger or Change in Control, the Administrator will notify the Participant in writing or electronically that such Option or Stock Appreciation Right will be exercisable for a period of time determined by the Administrator in its sole discretion, and the Option or Stock Appreciation Right will terminate upon the expiration of such period.</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Change in Control.</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 xml:space="preserve">Notwithstanding anything in this Section 14(c) to the contrary, and unless otherwise provided in an Award Agreement or other written agreement between the Participant and the Company or any of its Subsidiaries, Parents, or Affiliates, as applicable,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 </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(d) </w:t>
      </w:r>
      <w:r>
        <w:rPr>
          <w:rFonts w:ascii="Montserrat;sans-serif" w:hAnsi="Montserrat;sans-serif"/>
          <w:color w:val="000000"/>
          <w:sz w:val="18"/>
          <w:u w:val="single"/>
        </w:rPr>
        <w:t>Outside Director Awards</w:t>
      </w:r>
      <w:r>
        <w:rPr>
          <w:rFonts w:ascii="Montserrat;sans-serif" w:hAnsi="Montserrat;sans-serif"/>
          <w:color w:val="000000"/>
          <w:sz w:val="18"/>
        </w:rPr>
        <w:t>. With respect to Awards granted to an Outside Director that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the Participant will fully vest in and have the right to exercise Options and/or Stock Appreciation Rights as to all of the Shares underlying such Award, including those Shares which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each case unless specifically provided otherwise by the Administrator or under the applicable Award Agreement or other written agreement by the Administrator between the Outside Director and the Company or any of its Subsidiaries, Parents, or Affiliates, as applicable.</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 xml:space="preserve">15. </w:t>
      </w:r>
      <w:r>
        <w:rPr>
          <w:rFonts w:ascii="Montserrat;sans-serif" w:hAnsi="Montserrat;sans-serif"/>
          <w:color w:val="000000"/>
          <w:sz w:val="18"/>
          <w:u w:val="single"/>
        </w:rPr>
        <w:t>Tax</w:t>
      </w:r>
      <w:r>
        <w:rPr>
          <w:rFonts w:ascii="Montserrat;sans-serif" w:hAnsi="Montserrat;sans-serif"/>
          <w:color w:val="000000"/>
          <w:sz w:val="18"/>
        </w:rPr>
        <w:t>.</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(a) </w:t>
      </w:r>
      <w:r>
        <w:rPr>
          <w:rFonts w:ascii="Montserrat;sans-serif" w:hAnsi="Montserrat;sans-serif"/>
          <w:color w:val="000000"/>
          <w:sz w:val="18"/>
          <w:u w:val="single"/>
        </w:rPr>
        <w:t>Withholding Requirements</w:t>
      </w:r>
      <w:r>
        <w:rPr>
          <w:rFonts w:ascii="Montserrat;sans-serif" w:hAnsi="Montserrat;sans-serif"/>
          <w:color w:val="000000"/>
          <w:sz w:val="18"/>
        </w:rPr>
        <w:t xml:space="preserve">. Prior to the delivery of any Shares or cash pursuant to an Award (or exercise thereof) or such earlier time as any tax withholding obligations are due, the Company (or any of its Subsidiaries, Parents or Affiliates employing or retaining the services of a Participant, as applicable) will have the power and the right to deduct or withhold, or require a Participant to remit to the Company (or any of its Subsidiaries, Parents or Affiliates employing or retaining the services of a Participant, as applicable), an amount sufficient to satisfy federal, state, local, foreign or other taxes (including the Participant’s FICA or other social insurance contribution obligation) required to be withheld with respect to such Award (or exercise thereof). </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(b) </w:t>
      </w:r>
      <w:r>
        <w:rPr>
          <w:rFonts w:ascii="Montserrat;sans-serif" w:hAnsi="Montserrat;sans-serif"/>
          <w:color w:val="000000"/>
          <w:sz w:val="18"/>
          <w:u w:val="single"/>
        </w:rPr>
        <w:t>Withholding Arrangements</w:t>
      </w:r>
      <w:r>
        <w:rPr>
          <w:rFonts w:ascii="Montserrat;sans-serif" w:hAnsi="Montserrat;sans-serif"/>
          <w:color w:val="000000"/>
          <w:sz w:val="18"/>
        </w:rPr>
        <w:t xml:space="preserve">. The Administrator, in its sole discretion and pursuant to such procedures as it may specify from time to time, may permit a Participant to satisfy such tax withholding obligation, in whole or in part by (without limitation) (i) paying cash (including cash from the sale of Shares issued to the Participant at exercise), check or other cash equivalents; (ii)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(iii) delivering to the Company already-owned Shares having a fair market value equal to the statutory amount required to be withheld or such greater amount as the Administrator may determine, in each case, provided the delivery of such Shares will not result in any adverse accounting consequences, as the Administrator determines in its sole discretion; (iv) selling a sufficient number of Shares otherwise deliverable to the Participant through such means as the Administrator may determine in its sole discretion (whether through a broker or otherwise) equal to the amount required to be withheld or such greater amount as the Administrator may determine, in each case, provided the delivery of such Shares will not result in any adverse accounting consequences, as the Administrator determines in its sole discretion; (v) such other consideration and method of payment for the meeting of tax withholding obligations as the Administrator may determine to the extent permitted by Applicable Laws; or (vi) any combination of the foregoing methods of payment. The withholding amount will be deemed to include any amount which the Administrator agrees may be withheld at the time the election is made, not to exceed the amount determined by using the maximum federal, </w:t>
      </w:r>
    </w:p>
    <w:p>
      <w:pPr>
        <w:pStyle w:val="TextBody"/>
        <w:bidi w:val="0"/>
        <w:jc w:val="both"/>
        <w:rPr/>
      </w:pPr>
      <w:r>
        <w:rPr/>
        <w:t> </w:t>
      </w:r>
    </w:p>
    <w:tbl>
      <w:tblPr>
        <w:tblW w:w="3107" w:type="dxa"/>
        <w:jc w:val="left"/>
        <w:tblInd w:w="0" w:type="dxa"/>
        <w:tblLayout w:type="fixed"/>
        <w:tblCellMar>
          <w:top w:w="28" w:type="dxa"/>
          <w:left w:w="28" w:type="dxa"/>
          <w:bottom w:w="28" w:type="dxa"/>
          <w:right w:w="28" w:type="dxa"/>
        </w:tblCellMar>
      </w:tblPr>
      <w:tblGrid>
        <w:gridCol w:w="436"/>
        <w:gridCol w:w="2671"/>
      </w:tblGrid>
      <w:tr>
        <w:trPr/>
        <w:tc>
          <w:tcPr>
            <w:tcW w:w="436"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43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B-12</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257"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48" descr=""/>
                          <pic:cNvPicPr>
                            <a:picLocks noChangeAspect="1" noChangeArrowheads="1"/>
                          </pic:cNvPicPr>
                        </pic:nvPicPr>
                        <pic:blipFill>
                          <a:blip r:embed="rId250"/>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right"/>
        <w:rPr>
          <w:rFonts w:ascii="Montserrat;sans-serif" w:hAnsi="Montserrat;sans-serif"/>
          <w:color w:val="000000"/>
          <w:sz w:val="13"/>
        </w:rPr>
      </w:pPr>
      <w:r>
        <w:rPr>
          <w:rFonts w:ascii="Montserrat;sans-serif" w:hAnsi="Montserrat;sans-serif"/>
          <w:color w:val="000000"/>
          <w:sz w:val="13"/>
        </w:rPr>
        <w:t>Appendix B</w:t>
        <w:br/>
        <w:t>Amended and Restated 2016 Equity Incentive Plan</w:t>
      </w:r>
    </w:p>
    <w:p>
      <w:pPr>
        <w:pStyle w:val="TextBody"/>
        <w:bidi w:val="0"/>
        <w:jc w:val="right"/>
        <w:rPr/>
      </w:pPr>
      <w:r>
        <w:rPr/>
        <w:t> </w:t>
      </w:r>
    </w:p>
    <w:p>
      <w:pPr>
        <w:pStyle w:val="TextBody"/>
        <w:bidi w:val="0"/>
        <w:jc w:val="right"/>
        <w:rPr/>
      </w:pPr>
      <w:r>
        <w:rPr/>
        <w:t> </w:t>
      </w:r>
    </w:p>
    <w:p>
      <w:pPr>
        <w:pStyle w:val="TextBody"/>
        <w:bidi w:val="0"/>
        <w:spacing w:before="120" w:after="283"/>
        <w:jc w:val="both"/>
        <w:rPr>
          <w:rFonts w:ascii="Montserrat;sans-serif" w:hAnsi="Montserrat;sans-serif"/>
          <w:color w:val="000000"/>
          <w:sz w:val="18"/>
        </w:rPr>
      </w:pPr>
      <w:r>
        <w:rPr>
          <w:rFonts w:ascii="Montserrat;sans-serif" w:hAnsi="Montserrat;sans-serif"/>
          <w:color w:val="000000"/>
          <w:sz w:val="18"/>
        </w:rPr>
        <w:t>state or local marginal income tax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 If withholding or accepting delivery of Shares will result in adverse accounting consequences to the Company, then the Administrator may choose to not permit such withholding or delivery.</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(c) </w:t>
      </w:r>
      <w:r>
        <w:rPr>
          <w:rFonts w:ascii="Montserrat;sans-serif" w:hAnsi="Montserrat;sans-serif"/>
          <w:color w:val="000000"/>
          <w:sz w:val="18"/>
          <w:u w:val="single"/>
        </w:rPr>
        <w:t>Compliance with Code Section 409A</w:t>
      </w:r>
      <w:r>
        <w:rPr>
          <w:rFonts w:ascii="Montserrat;sans-serif" w:hAnsi="Montserrat;sans-serif"/>
          <w:color w:val="000000"/>
          <w:sz w:val="18"/>
        </w:rPr>
        <w:t>. Awards will be designed and operated in such a manner that they are either exempt from the application of, or comply with, the requirements of Code Section 409A such that the grant, payment, settlement or deferral will not be subject to the additional tax or interest applicable under Code Section 409A, except as otherwise determined in the sole discretion of the Administrator. Unless provided otherwise under the applicable Award Agreement, each payment or benefit under this Plan and under each Award Agreement is intended to constitute a separate payment for purposes of Section 1.409A-2(b)(2) of the Treasury Regulations. The Plan and each Award Agreement under the Plan are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 Section 409A. In no event will the Company or any of its Subsidiaries, Parents, or Affiliates have any responsibility, obligation or liability under the terms of this Plan to reimburse, indemnify, or hold harmless any Participant or any other person in respect of Awards, for any taxes, interest or penalties imposed, or other costs incurred, as a result of Code Section 409A.</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 xml:space="preserve">16. </w:t>
      </w:r>
      <w:r>
        <w:rPr>
          <w:rFonts w:ascii="Montserrat;sans-serif" w:hAnsi="Montserrat;sans-serif"/>
          <w:color w:val="000000"/>
          <w:sz w:val="18"/>
          <w:u w:val="single"/>
        </w:rPr>
        <w:t>No Effect on Employment or Service</w:t>
      </w:r>
      <w:r>
        <w:rPr>
          <w:rFonts w:ascii="Montserrat;sans-serif" w:hAnsi="Montserrat;sans-serif"/>
          <w:color w:val="000000"/>
          <w:sz w:val="18"/>
        </w:rPr>
        <w:t>. Neither the Plan nor any Award will confer upon a Participant any right with respect to continuing the Participant’s relationship as a Service Provider with the Company or its Parent, Subsidiary or Affiliate, as applicable, nor will they interfere in any way with the Participant’s right or the right of the Company or its Parent, Subsidiary or Affiliate to terminate such relationship at any time, with or without cause, to the extent permitted by Applicable Laws.</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 xml:space="preserve">17. </w:t>
      </w:r>
      <w:r>
        <w:rPr>
          <w:rFonts w:ascii="Montserrat;sans-serif" w:hAnsi="Montserrat;sans-serif"/>
          <w:color w:val="000000"/>
          <w:sz w:val="18"/>
          <w:u w:val="single"/>
        </w:rPr>
        <w:t>Forfeiture Events</w:t>
      </w:r>
      <w:r>
        <w:rPr>
          <w:rFonts w:ascii="Montserrat;sans-serif" w:hAnsi="Montserrat;sans-serif"/>
          <w:color w:val="000000"/>
          <w:sz w:val="18"/>
        </w:rPr>
        <w:t>. The Administrator may specify in an Award Agreement that the Participant’s rights, payments, and benefits with respect to an Award will be subject to reduction, cancellation, forfeiture, recoupment, reimbursement, or reacquisition upon the occurrence of certain specified events (including, without limitation, upon a Participant’s termination for Cause), in addition to any otherwise applicable vesting or performance conditions of an Award. Notwithstanding any provision to the contrary of this Plan, an Award and any other compensation paid or payable to a Participant (including, but not limited to, equity awards issued outside of this Plan) (such compensation, “</w:t>
      </w:r>
      <w:r>
        <w:rPr>
          <w:rFonts w:ascii="Montserrat;sans-serif" w:hAnsi="Montserrat;sans-serif"/>
          <w:color w:val="000000"/>
          <w:sz w:val="18"/>
          <w:u w:val="single"/>
        </w:rPr>
        <w:t>Other Compensation</w:t>
      </w:r>
      <w:r>
        <w:rPr>
          <w:rFonts w:ascii="Montserrat;sans-serif" w:hAnsi="Montserrat;sans-serif"/>
          <w:color w:val="000000"/>
          <w:sz w:val="18"/>
        </w:rPr>
        <w:t>”) will be subject, to the extent applicable, to the Company’s compensation recovery policy in effect as of the adoption of this Plan, and any other compensation recovery policy of the Company as may be established and/or amended from time to time to comply with Applicable Laws (including without limitation pursuant to the listing standards of any national securities exchange or association on which the Company’s securities are listed or as may be required by the U.S. Dodd-Frank Wall Street Reform and Consumer Protection Act) (the “Compensation Recovery</w:t>
      </w:r>
      <w:r>
        <w:rPr>
          <w:rFonts w:ascii="Montserrat;sans-serif" w:hAnsi="Montserrat;sans-serif"/>
          <w:color w:val="000000"/>
          <w:sz w:val="18"/>
          <w:u w:val="single"/>
        </w:rPr>
        <w:t xml:space="preserve"> Policy</w:t>
      </w:r>
      <w:r>
        <w:rPr>
          <w:rFonts w:ascii="Montserrat;sans-serif" w:hAnsi="Montserrat;sans-serif"/>
          <w:color w:val="000000"/>
          <w:sz w:val="18"/>
        </w:rPr>
        <w:t>”). The Administrator may require a Participant to forfeit, return or reimburse the Company all or a portion of the Award or Other Compensation and any amounts paid thereunder pursuant to, but only to the extent such Award and the amounts paid thereunder are subject to recovery under, the terms of the Compensation Recovery Policy or as necessary or appropriate to comply with Applicable Laws. Unless this Section 17 specifically is mentioned and waived in an Award Agreement or other document, no recovery of compensation under the Compensation Recovery Policy or otherwise shall constitute an event that triggers or contributes to any right of a Participant to resign for “good reason” or “constructive termination” (or similar term) under any employee agreement, offer letter, severance plan or policy (including any change of control severance plan or policy) or other arrangement with the Company or any Parent, Subsidiary or Affiliate, as applicable.</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 xml:space="preserve">18. </w:t>
      </w:r>
      <w:r>
        <w:rPr>
          <w:rFonts w:ascii="Montserrat;sans-serif" w:hAnsi="Montserrat;sans-serif"/>
          <w:color w:val="000000"/>
          <w:sz w:val="18"/>
          <w:u w:val="single"/>
        </w:rPr>
        <w:t>Date of Grant</w:t>
      </w:r>
      <w:r>
        <w:rPr>
          <w:rFonts w:ascii="Montserrat;sans-serif" w:hAnsi="Montserrat;sans-serif"/>
          <w:color w:val="000000"/>
          <w:sz w:val="18"/>
        </w:rPr>
        <w:t>. The date of grant of an Award will be, for all purposes, the date on which the Administrator makes the determination granting such Award, or such other later date as is determined by the Administrator.</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 xml:space="preserve">19. </w:t>
      </w:r>
      <w:r>
        <w:rPr>
          <w:rFonts w:ascii="Montserrat;sans-serif" w:hAnsi="Montserrat;sans-serif"/>
          <w:color w:val="000000"/>
          <w:sz w:val="18"/>
          <w:u w:val="single"/>
        </w:rPr>
        <w:t>Term of Plan</w:t>
      </w:r>
      <w:r>
        <w:rPr>
          <w:rFonts w:ascii="Montserrat;sans-serif" w:hAnsi="Montserrat;sans-serif"/>
          <w:color w:val="000000"/>
          <w:sz w:val="18"/>
        </w:rPr>
        <w:t>. The Plan was originally effective on September 29, 2016 and will continue in effect until terminated earlier under Section 20 of the Plan.</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 xml:space="preserve">20. </w:t>
      </w:r>
      <w:r>
        <w:rPr>
          <w:rFonts w:ascii="Montserrat;sans-serif" w:hAnsi="Montserrat;sans-serif"/>
          <w:color w:val="000000"/>
          <w:sz w:val="18"/>
          <w:u w:val="single"/>
        </w:rPr>
        <w:t>Amendment and Termination of the Plan</w:t>
      </w:r>
      <w:r>
        <w:rPr>
          <w:rFonts w:ascii="Montserrat;sans-serif" w:hAnsi="Montserrat;sans-serif"/>
          <w:color w:val="000000"/>
          <w:sz w:val="18"/>
        </w:rPr>
        <w:t>.</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(a) </w:t>
      </w:r>
      <w:r>
        <w:rPr>
          <w:rFonts w:ascii="Montserrat;sans-serif" w:hAnsi="Montserrat;sans-serif"/>
          <w:color w:val="000000"/>
          <w:sz w:val="18"/>
          <w:u w:val="single"/>
        </w:rPr>
        <w:t>Amendment and Termination</w:t>
      </w:r>
      <w:r>
        <w:rPr>
          <w:rFonts w:ascii="Montserrat;sans-serif" w:hAnsi="Montserrat;sans-serif"/>
          <w:color w:val="000000"/>
          <w:sz w:val="18"/>
        </w:rPr>
        <w:t xml:space="preserve">. The Administrator may at any time amend, alter, suspend or terminate the Plan. </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(b) </w:t>
      </w:r>
      <w:r>
        <w:rPr>
          <w:rFonts w:ascii="Montserrat;sans-serif" w:hAnsi="Montserrat;sans-serif"/>
          <w:color w:val="000000"/>
          <w:sz w:val="18"/>
          <w:u w:val="single"/>
        </w:rPr>
        <w:t>Stockholder Approval</w:t>
      </w:r>
      <w:r>
        <w:rPr>
          <w:rFonts w:ascii="Montserrat;sans-serif" w:hAnsi="Montserrat;sans-serif"/>
          <w:color w:val="000000"/>
          <w:sz w:val="18"/>
        </w:rPr>
        <w:t xml:space="preserve">. The Company will obtain stockholder approval of any Plan amendment to the extent necessary and desirable to comply with Applicable Laws. </w:t>
      </w:r>
    </w:p>
    <w:p>
      <w:pPr>
        <w:pStyle w:val="TextBody"/>
        <w:bidi w:val="0"/>
        <w:jc w:val="both"/>
        <w:rPr/>
      </w:pPr>
      <w:r>
        <w:rPr/>
        <w:t> </w:t>
      </w:r>
    </w:p>
    <w:tbl>
      <w:tblPr>
        <w:tblW w:w="3107" w:type="dxa"/>
        <w:jc w:val="left"/>
        <w:tblInd w:w="0" w:type="dxa"/>
        <w:tblLayout w:type="fixed"/>
        <w:tblCellMar>
          <w:top w:w="28" w:type="dxa"/>
          <w:left w:w="28" w:type="dxa"/>
          <w:bottom w:w="28" w:type="dxa"/>
          <w:right w:w="28" w:type="dxa"/>
        </w:tblCellMar>
      </w:tblPr>
      <w:tblGrid>
        <w:gridCol w:w="2641"/>
        <w:gridCol w:w="466"/>
      </w:tblGrid>
      <w:tr>
        <w:trPr/>
        <w:tc>
          <w:tcPr>
            <w:tcW w:w="264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52450" cy="57150"/>
                  <wp:effectExtent l="0" t="0" r="0" b="0"/>
                  <wp:docPr id="258"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49" descr=""/>
                          <pic:cNvPicPr>
                            <a:picLocks noChangeAspect="1" noChangeArrowheads="1"/>
                          </pic:cNvPicPr>
                        </pic:nvPicPr>
                        <pic:blipFill>
                          <a:blip r:embed="rId251"/>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c>
          <w:tcPr>
            <w:tcW w:w="466" w:type="dxa"/>
            <w:tcBorders/>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4"/>
              </w:rPr>
            </w:pPr>
            <w:r>
              <w:rPr>
                <w:rFonts w:ascii="Montserrat;sans-serif" w:hAnsi="Montserrat;sans-serif"/>
                <w:color w:val="000000"/>
                <w:sz w:val="14"/>
              </w:rPr>
              <w:t>B-13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rFonts w:ascii="Montserrat;sans-serif" w:hAnsi="Montserrat;sans-serif"/>
          <w:color w:val="000000"/>
          <w:sz w:val="13"/>
        </w:rPr>
      </w:pPr>
      <w:r>
        <w:rPr>
          <w:rFonts w:ascii="Montserrat;sans-serif" w:hAnsi="Montserrat;sans-serif"/>
          <w:color w:val="000000"/>
          <w:sz w:val="13"/>
        </w:rPr>
        <w:t>Appendix B</w:t>
        <w:br/>
        <w:t>Amended and Restated 2016 Equity Incentive Plan</w:t>
      </w:r>
    </w:p>
    <w:p>
      <w:pPr>
        <w:pStyle w:val="TextBody"/>
        <w:bidi w:val="0"/>
        <w:jc w:val="left"/>
        <w:rPr/>
      </w:pPr>
      <w:r>
        <w:rPr/>
        <w:t> </w:t>
      </w:r>
    </w:p>
    <w:p>
      <w:pPr>
        <w:pStyle w:val="TextBody"/>
        <w:bidi w:val="0"/>
        <w:jc w:val="left"/>
        <w:rPr/>
      </w:pPr>
      <w:r>
        <w:rPr/>
        <w:t> </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(c) </w:t>
      </w:r>
      <w:r>
        <w:rPr>
          <w:rFonts w:ascii="Montserrat;sans-serif" w:hAnsi="Montserrat;sans-serif"/>
          <w:color w:val="000000"/>
          <w:sz w:val="18"/>
          <w:u w:val="single"/>
        </w:rPr>
        <w:t>Effect of Amendment or Termination</w:t>
      </w:r>
      <w:r>
        <w:rPr>
          <w:rFonts w:ascii="Montserrat;sans-serif" w:hAnsi="Montserrat;sans-serif"/>
          <w:color w:val="000000"/>
          <w:sz w:val="18"/>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(d) </w:t>
      </w:r>
      <w:r>
        <w:rPr>
          <w:rFonts w:ascii="Montserrat;sans-serif" w:hAnsi="Montserrat;sans-serif"/>
          <w:color w:val="000000"/>
          <w:sz w:val="18"/>
          <w:u w:val="single"/>
        </w:rPr>
        <w:t>Exceptions to Consent Requirement</w:t>
      </w:r>
      <w:r>
        <w:rPr>
          <w:rFonts w:ascii="Montserrat;sans-serif" w:hAnsi="Montserrat;sans-serif"/>
          <w:color w:val="000000"/>
          <w:sz w:val="18"/>
        </w:rPr>
        <w:t>. Subject to the limitations of Applicable Laws, if any, the Administrator may amend the terms of any one or more Awards without the affected Participant’s consent even if it does materially impair the Participant’s right if such amendment is done:</w:t>
      </w:r>
    </w:p>
    <w:p>
      <w:pPr>
        <w:pStyle w:val="TextBody"/>
        <w:bidi w:val="0"/>
        <w:spacing w:before="120" w:after="283"/>
        <w:ind w:left="0" w:right="0" w:firstLine="1440"/>
        <w:jc w:val="both"/>
        <w:rPr>
          <w:rFonts w:ascii="Montserrat;sans-serif" w:hAnsi="Montserrat;sans-serif"/>
          <w:color w:val="000000"/>
          <w:sz w:val="18"/>
        </w:rPr>
      </w:pPr>
      <w:r>
        <w:rPr>
          <w:rFonts w:ascii="Montserrat;sans-serif" w:hAnsi="Montserrat;sans-serif"/>
          <w:color w:val="000000"/>
          <w:sz w:val="18"/>
        </w:rPr>
        <w:t>(i) in a manner expressly permitted under the Plan;</w:t>
      </w:r>
    </w:p>
    <w:p>
      <w:pPr>
        <w:pStyle w:val="TextBody"/>
        <w:bidi w:val="0"/>
        <w:spacing w:before="120" w:after="283"/>
        <w:ind w:left="0" w:right="0" w:firstLine="1440"/>
        <w:jc w:val="both"/>
        <w:rPr>
          <w:rFonts w:ascii="Montserrat;sans-serif" w:hAnsi="Montserrat;sans-serif"/>
          <w:color w:val="000000"/>
          <w:sz w:val="18"/>
        </w:rPr>
      </w:pPr>
      <w:r>
        <w:rPr>
          <w:rFonts w:ascii="Montserrat;sans-serif" w:hAnsi="Montserrat;sans-serif"/>
          <w:color w:val="000000"/>
          <w:sz w:val="18"/>
        </w:rPr>
        <w:t xml:space="preserve">(ii) to maintain the qualified status of the Award as an Incentive Stock Option under Section 422 of the Code; </w:t>
      </w:r>
    </w:p>
    <w:p>
      <w:pPr>
        <w:pStyle w:val="TextBody"/>
        <w:bidi w:val="0"/>
        <w:spacing w:before="120" w:after="283"/>
        <w:ind w:left="0" w:right="0" w:firstLine="1440"/>
        <w:jc w:val="both"/>
        <w:rPr>
          <w:rFonts w:ascii="Montserrat;sans-serif" w:hAnsi="Montserrat;sans-serif"/>
          <w:color w:val="000000"/>
          <w:sz w:val="18"/>
        </w:rPr>
      </w:pPr>
      <w:r>
        <w:rPr>
          <w:rFonts w:ascii="Montserrat;sans-serif" w:hAnsi="Montserrat;sans-serif"/>
          <w:color w:val="000000"/>
          <w:sz w:val="18"/>
        </w:rPr>
        <w:t>(iii) to change the terms of an Incentive Stock Option, if such change results in impairment of the Award only because it impairs the qualified status of the Award as an Incentive Stock Option under Section 422 of the Code;</w:t>
      </w:r>
    </w:p>
    <w:p>
      <w:pPr>
        <w:pStyle w:val="TextBody"/>
        <w:bidi w:val="0"/>
        <w:spacing w:before="120" w:after="283"/>
        <w:ind w:left="0" w:right="0" w:firstLine="1440"/>
        <w:jc w:val="both"/>
        <w:rPr>
          <w:rFonts w:ascii="Montserrat;sans-serif" w:hAnsi="Montserrat;sans-serif"/>
          <w:color w:val="000000"/>
          <w:sz w:val="18"/>
        </w:rPr>
      </w:pPr>
      <w:r>
        <w:rPr>
          <w:rFonts w:ascii="Montserrat;sans-serif" w:hAnsi="Montserrat;sans-serif"/>
          <w:color w:val="000000"/>
          <w:sz w:val="18"/>
        </w:rPr>
        <w:t xml:space="preserve">(iv) to clarify the manner of exemption from, or to bring the Award into compliance with, Code Section 409A; or </w:t>
      </w:r>
    </w:p>
    <w:p>
      <w:pPr>
        <w:pStyle w:val="TextBody"/>
        <w:bidi w:val="0"/>
        <w:spacing w:before="120" w:after="283"/>
        <w:ind w:left="0" w:right="0" w:firstLine="1440"/>
        <w:jc w:val="both"/>
        <w:rPr>
          <w:rFonts w:ascii="Montserrat;sans-serif" w:hAnsi="Montserrat;sans-serif"/>
          <w:color w:val="000000"/>
          <w:sz w:val="18"/>
        </w:rPr>
      </w:pPr>
      <w:r>
        <w:rPr>
          <w:rFonts w:ascii="Montserrat;sans-serif" w:hAnsi="Montserrat;sans-serif"/>
          <w:color w:val="000000"/>
          <w:sz w:val="18"/>
        </w:rPr>
        <w:t>(v) to comply with other Applicable Laws.</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 xml:space="preserve">21. </w:t>
      </w:r>
      <w:r>
        <w:rPr>
          <w:rFonts w:ascii="Montserrat;sans-serif" w:hAnsi="Montserrat;sans-serif"/>
          <w:color w:val="000000"/>
          <w:sz w:val="18"/>
          <w:u w:val="single"/>
        </w:rPr>
        <w:t>Conditions Upon Issuance of Shares</w:t>
      </w:r>
      <w:r>
        <w:rPr>
          <w:rFonts w:ascii="Montserrat;sans-serif" w:hAnsi="Montserrat;sans-serif"/>
          <w:color w:val="000000"/>
          <w:sz w:val="18"/>
        </w:rPr>
        <w:t>.</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(a) </w:t>
      </w:r>
      <w:r>
        <w:rPr>
          <w:rFonts w:ascii="Montserrat;sans-serif" w:hAnsi="Montserrat;sans-serif"/>
          <w:color w:val="000000"/>
          <w:sz w:val="18"/>
          <w:u w:val="single"/>
        </w:rPr>
        <w:t>Legal Compliance</w:t>
      </w:r>
      <w:r>
        <w:rPr>
          <w:rFonts w:ascii="Montserrat;sans-serif" w:hAnsi="Montserrat;sans-serif"/>
          <w:color w:val="000000"/>
          <w:sz w:val="18"/>
        </w:rPr>
        <w:t>. Shares will not be issued pursuant to the exercise or vesting of an Award unless the exercise or vesting of such Award and the issuance and delivery of such Shares will comply with Applicable Laws and will be further subject to the approval of counsel for the Company with respect to such compliance.</w:t>
      </w:r>
    </w:p>
    <w:p>
      <w:pPr>
        <w:pStyle w:val="TextBody"/>
        <w:bidi w:val="0"/>
        <w:spacing w:before="120" w:after="283"/>
        <w:ind w:left="0" w:right="0" w:firstLine="720"/>
        <w:jc w:val="both"/>
        <w:rPr>
          <w:rFonts w:ascii="Montserrat;sans-serif" w:hAnsi="Montserrat;sans-serif"/>
          <w:sz w:val="18"/>
        </w:rPr>
      </w:pPr>
      <w:r>
        <w:rPr>
          <w:rFonts w:ascii="Montserrat;sans-serif" w:hAnsi="Montserrat;sans-serif"/>
          <w:color w:val="000000"/>
          <w:sz w:val="18"/>
        </w:rPr>
        <w:t xml:space="preserve">(b) </w:t>
      </w:r>
      <w:r>
        <w:rPr>
          <w:rFonts w:ascii="Montserrat;sans-serif" w:hAnsi="Montserrat;sans-serif"/>
          <w:color w:val="000000"/>
          <w:sz w:val="18"/>
          <w:u w:val="single"/>
        </w:rPr>
        <w:t>Investment Representations</w:t>
      </w:r>
      <w:r>
        <w:rPr>
          <w:rFonts w:ascii="Montserrat;sans-serif" w:hAnsi="Montserrat;sans-serif"/>
          <w:color w:val="000000"/>
          <w:sz w:val="18"/>
        </w:rPr>
        <w:t>. As a condition to the exercise or vesting of an Award, the Company may require the person exercising or vesting in such Award to represent and warrant at the time of any such exercise or vesting that the Shares are being acquired only for investment and without any present intention to sell or distribute such Shares if, in the opinion of counsel for the Company, such a representation is required.</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 xml:space="preserve">22. </w:t>
      </w:r>
      <w:r>
        <w:rPr>
          <w:rFonts w:ascii="Montserrat;sans-serif" w:hAnsi="Montserrat;sans-serif"/>
          <w:color w:val="000000"/>
          <w:sz w:val="18"/>
          <w:u w:val="single"/>
        </w:rPr>
        <w:t>Inability to Obtain Authority</w:t>
      </w:r>
      <w:r>
        <w:rPr>
          <w:rFonts w:ascii="Montserrat;sans-serif" w:hAnsi="Montserrat;sans-serif"/>
          <w:color w:val="000000"/>
          <w:sz w:val="18"/>
        </w:rPr>
        <w:t>. The inability of the Company to obtain authority from any regulatory body having jurisdiction or to complete or comply with the requirements of any registration or other qualification of the Shares under any state, federal or foreign law or under the rules and regulations of the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w:t>
      </w:r>
    </w:p>
    <w:p>
      <w:pPr>
        <w:pStyle w:val="TextBody"/>
        <w:bidi w:val="0"/>
        <w:spacing w:before="120" w:after="283"/>
        <w:jc w:val="both"/>
        <w:rPr>
          <w:rFonts w:ascii="Montserrat;sans-serif" w:hAnsi="Montserrat;sans-serif"/>
          <w:sz w:val="18"/>
        </w:rPr>
      </w:pPr>
      <w:r>
        <w:rPr>
          <w:rFonts w:ascii="Montserrat;sans-serif" w:hAnsi="Montserrat;sans-serif"/>
          <w:color w:val="000000"/>
          <w:sz w:val="18"/>
        </w:rPr>
        <w:t xml:space="preserve">23. </w:t>
      </w:r>
      <w:r>
        <w:rPr>
          <w:rFonts w:ascii="Montserrat;sans-serif" w:hAnsi="Montserrat;sans-serif"/>
          <w:color w:val="000000"/>
          <w:sz w:val="18"/>
          <w:u w:val="single"/>
        </w:rPr>
        <w:t>Stockholder Approval</w:t>
      </w:r>
      <w:r>
        <w:rPr>
          <w:rFonts w:ascii="Montserrat;sans-serif" w:hAnsi="Montserrat;sans-serif"/>
          <w:color w:val="000000"/>
          <w:sz w:val="18"/>
        </w:rPr>
        <w:t>. The Plan was approved by the stockholders of the Company on December 12, 2025, and the amendment to the Plan reflected herein will become effective upon its approval by the Company’s stockholders. The Company will obtain stockholder approval of any future Plan amendment to the extent necessary and desirable to comply with Applicable Laws.</w:t>
      </w:r>
    </w:p>
    <w:p>
      <w:pPr>
        <w:pStyle w:val="TextBody"/>
        <w:bidi w:val="0"/>
        <w:jc w:val="both"/>
        <w:rPr/>
      </w:pPr>
      <w:r>
        <w:rPr/>
        <w:t> </w:t>
      </w:r>
    </w:p>
    <w:tbl>
      <w:tblPr>
        <w:tblW w:w="3107" w:type="dxa"/>
        <w:jc w:val="left"/>
        <w:tblInd w:w="0" w:type="dxa"/>
        <w:tblLayout w:type="fixed"/>
        <w:tblCellMar>
          <w:top w:w="28" w:type="dxa"/>
          <w:left w:w="28" w:type="dxa"/>
          <w:bottom w:w="28" w:type="dxa"/>
          <w:right w:w="28" w:type="dxa"/>
        </w:tblCellMar>
      </w:tblPr>
      <w:tblGrid>
        <w:gridCol w:w="436"/>
        <w:gridCol w:w="2671"/>
      </w:tblGrid>
      <w:tr>
        <w:trPr/>
        <w:tc>
          <w:tcPr>
            <w:tcW w:w="436"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43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4"/>
              </w:rPr>
            </w:pPr>
            <w:r>
              <w:rPr>
                <w:rFonts w:ascii="Montserrat;sans-serif" w:hAnsi="Montserrat;sans-serif"/>
                <w:color w:val="000000"/>
                <w:sz w:val="14"/>
              </w:rPr>
              <w:t>B-14</w:t>
            </w:r>
          </w:p>
        </w:tc>
        <w:tc>
          <w:tcPr>
            <w:tcW w:w="26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552450" cy="57150"/>
                  <wp:effectExtent l="0" t="0" r="0" b="0"/>
                  <wp:docPr id="259"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50" descr=""/>
                          <pic:cNvPicPr>
                            <a:picLocks noChangeAspect="1" noChangeArrowheads="1"/>
                          </pic:cNvPicPr>
                        </pic:nvPicPr>
                        <pic:blipFill>
                          <a:blip r:embed="rId252"/>
                          <a:stretch>
                            <a:fillRect/>
                          </a:stretch>
                        </pic:blipFill>
                        <pic:spPr bwMode="auto">
                          <a:xfrm>
                            <a:off x="0" y="0"/>
                            <a:ext cx="552450" cy="57150"/>
                          </a:xfrm>
                          <a:prstGeom prst="rect">
                            <a:avLst/>
                          </a:prstGeom>
                        </pic:spPr>
                      </pic:pic>
                    </a:graphicData>
                  </a:graphic>
                </wp:inline>
              </w:drawing>
            </w:r>
            <w:r>
              <w:rPr>
                <w:color w:val="000000"/>
              </w:rPr>
              <w:t xml:space="preserve"> </w:t>
            </w:r>
            <w:r>
              <w:rPr>
                <w:rFonts w:ascii="Montserrat;sans-serif" w:hAnsi="Montserrat;sans-serif"/>
                <w:color w:val="000000"/>
                <w:sz w:val="13"/>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pPr>
      <w:r>
        <w:rPr/>
        <w:t> </w:t>
      </w:r>
    </w:p>
    <w:p>
      <w:pPr>
        <w:pStyle w:val="TextBody"/>
        <w:bidi w:val="0"/>
        <w:jc w:val="both"/>
        <w:rPr/>
      </w:pPr>
      <w:r>
        <w:rPr/>
        <w:t> </w:t>
      </w:r>
    </w:p>
    <w:p>
      <w:pPr>
        <w:pStyle w:val="TextBody"/>
        <w:bidi w:val="0"/>
        <w:jc w:val="center"/>
        <w:rPr/>
      </w:pPr>
      <w:r>
        <w:rPr/>
        <w:drawing>
          <wp:inline distT="0" distB="0" distL="0" distR="0">
            <wp:extent cx="7305675" cy="9458325"/>
            <wp:effectExtent l="0" t="0" r="0" b="0"/>
            <wp:docPr id="260"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51" descr=""/>
                    <pic:cNvPicPr>
                      <a:picLocks noChangeAspect="1" noChangeArrowheads="1"/>
                    </pic:cNvPicPr>
                  </pic:nvPicPr>
                  <pic:blipFill>
                    <a:blip r:embed="rId253"/>
                    <a:stretch>
                      <a:fillRect/>
                    </a:stretch>
                  </pic:blipFill>
                  <pic:spPr bwMode="auto">
                    <a:xfrm>
                      <a:off x="0" y="0"/>
                      <a:ext cx="7305675" cy="9458325"/>
                    </a:xfrm>
                    <a:prstGeom prst="rect">
                      <a:avLst/>
                    </a:prstGeom>
                  </pic:spPr>
                </pic:pic>
              </a:graphicData>
            </a:graphic>
          </wp:inline>
        </w:drawing>
      </w:r>
    </w:p>
    <w:p>
      <w:pPr>
        <w:pStyle w:val="TextBody"/>
        <w:bidi w:val="0"/>
        <w:jc w:val="both"/>
        <w:rPr/>
      </w:pPr>
      <w:r>
        <w:rPr/>
        <w:t> </w:t>
      </w:r>
    </w:p>
    <w:p>
      <w:pPr>
        <w:pStyle w:val="TextBody"/>
        <w:bidi w:val="0"/>
        <w:jc w:val="both"/>
        <w:rPr>
          <w:rFonts w:ascii="Montserrat;sans-serif" w:hAnsi="Montserrat;sans-serif"/>
          <w:color w:val="FFFFFF"/>
          <w:sz w:val="2"/>
        </w:rPr>
      </w:pPr>
      <w:r>
        <w:rPr>
          <w:rFonts w:ascii="Montserrat;sans-serif" w:hAnsi="Montserrat;sans-serif"/>
          <w:color w:val="FFFFFF"/>
          <w:sz w:val="2"/>
        </w:rPr>
        <w:t>SCAN TO VIEW MATERIALS &amp; VOTE NUTANIX, INC. 1740 TECHNOLOGY DRIVE SUITE 150 SAN JOSE, CA 95110 VOTE BY INTERNET Before The Meeting - Go to www.proxyvote.com or scan the QR Barcode above 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 During The Meeting - Go to www.virtualshareholdermeeting.com/NTNX2026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the day before the cut-off date or meeting date.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T04810-P57339 KEEP THIS PORTION FOR YOUR RECORDS THIS PROXY CARD IS VALID ONLY WHEN SIGNED AND DATED. DETACH AND RETURN THIS PORTION ONLY NUTANIX, INC. The Board of Directors recommends you vote FOR the following nominees and proposals: 1. Election of eight directors to hold office until the annual meeting of stockholders to take place after the end of the fiscal year ending July 31, 2027. Nominees: For Against Abstain For Against Abstain 1a. Eric K. Brandt 1b. Max de Groen 1c. Virginia Gambale 1d. Steven J. Gomo 1e. Greg Lavender 1f. Rajiv Ramaswami 1g. Gayle Sheppard 1h. Mark Templeton 2. Ratification of the selection of Deloitte &amp; Touche LLP as our independent registered public accounting firm for the fiscal year ending July 31, 2027. 3. Approval, on a non-binding advisory basis, of the compensation of our named executive officers. 4. Approval of an amendment to the Amended and Restated 2016 Equity Incentive Plan to increase the share reserve. NOTE: Such other business as may properly come before the meeting or any adjournment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0000FF"/>
            <w:sz w:val="20"/>
            <w:u w:val="single"/>
          </w:rPr>
          <w:t>Table of Contents</w:t>
        </w:r>
      </w:hyperlink>
    </w:p>
    <w:p>
      <w:pPr>
        <w:pStyle w:val="TextBody"/>
        <w:bidi w:val="0"/>
        <w:jc w:val="left"/>
        <w:rPr/>
      </w:pPr>
      <w:r>
        <w:rPr/>
        <w:t> </w:t>
      </w:r>
    </w:p>
    <w:p>
      <w:pPr>
        <w:pStyle w:val="TextBody"/>
        <w:bidi w:val="0"/>
        <w:jc w:val="both"/>
        <w:rPr/>
      </w:pPr>
      <w:r>
        <w:rPr/>
        <w:t> </w:t>
      </w:r>
    </w:p>
    <w:p>
      <w:pPr>
        <w:pStyle w:val="TextBody"/>
        <w:bidi w:val="0"/>
        <w:jc w:val="center"/>
        <w:rPr/>
      </w:pPr>
      <w:r>
        <w:rPr/>
        <w:drawing>
          <wp:inline distT="0" distB="0" distL="0" distR="0">
            <wp:extent cx="7305675" cy="9458325"/>
            <wp:effectExtent l="0" t="0" r="0" b="0"/>
            <wp:docPr id="261"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52" descr=""/>
                    <pic:cNvPicPr>
                      <a:picLocks noChangeAspect="1" noChangeArrowheads="1"/>
                    </pic:cNvPicPr>
                  </pic:nvPicPr>
                  <pic:blipFill>
                    <a:blip r:embed="rId254"/>
                    <a:stretch>
                      <a:fillRect/>
                    </a:stretch>
                  </pic:blipFill>
                  <pic:spPr bwMode="auto">
                    <a:xfrm>
                      <a:off x="0" y="0"/>
                      <a:ext cx="7305675" cy="9458325"/>
                    </a:xfrm>
                    <a:prstGeom prst="rect">
                      <a:avLst/>
                    </a:prstGeom>
                  </pic:spPr>
                </pic:pic>
              </a:graphicData>
            </a:graphic>
          </wp:inline>
        </w:drawing>
      </w:r>
    </w:p>
    <w:p>
      <w:pPr>
        <w:pStyle w:val="TextBody"/>
        <w:bidi w:val="0"/>
        <w:jc w:val="both"/>
        <w:rPr/>
      </w:pPr>
      <w:r>
        <w:rPr/>
        <w:t> </w:t>
      </w:r>
    </w:p>
    <w:p>
      <w:pPr>
        <w:pStyle w:val="TextBody"/>
        <w:bidi w:val="0"/>
        <w:jc w:val="both"/>
        <w:rPr>
          <w:rFonts w:ascii="Montserrat;sans-serif" w:hAnsi="Montserrat;sans-serif"/>
          <w:color w:val="FFFFFF"/>
          <w:sz w:val="2"/>
        </w:rPr>
      </w:pPr>
      <w:r>
        <w:rPr>
          <w:rFonts w:ascii="Montserrat;sans-serif" w:hAnsi="Montserrat;sans-serif"/>
          <w:color w:val="FFFFFF"/>
          <w:sz w:val="2"/>
        </w:rPr>
        <w:t>Important Notice Regarding the Availability of Proxy Materials for the Annual Meeting: The Notice, Proxy Statement, and Annual Report are available at www.proxyvote.com. NUTANIX, INC. Annual Meeting of Stockholders December 11, 2026 at 9:00 AM, PST This proxy is solicited by the Board of Directors The stockholder(s) hereby appoint(s) Rajiv Ramaswami, Rukmini Sivaraman, and Brian Martin or any of them, as proxies, each with the power to appoint his or her substitute, and hereby authorize(s) them to represent and to vote, as designated on the reverse side of this proxy, all of the shares of common stock of NUTANIX, INC. that the stockholder(s) is/are entitled to vote at the Annual Meeting of Stockholders to be held at 9:00 AM, PST, on December 11, 2026, to be held virtually, via live webcast at www.virtualshareholdermeeting.com/NTNX2026, and any adjournment or postponement thereof. This proxy, when properly executed, will be voted in the manner directed herein. If no such direction is made, this proxy will be voted in accordance with the Board of Directors' recommendations. Continued and to be signed on reverse side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Montserrat">
    <w:altName w:val="sans-serif"/>
    <w:charset w:val="01"/>
    <w:family w:val="auto"/>
    <w:pitch w:val="default"/>
  </w:font>
  <w:font w:name="Montserrat">
    <w:altName w:val="Montserrat Medium"/>
    <w:charset w:val="01"/>
    <w:family w:val="auto"/>
    <w:pitch w:val="default"/>
  </w:font>
  <w:font w:name="Montserrat SemiBold">
    <w:altName w:val="sans-serif"/>
    <w:charset w:val="01"/>
    <w:family w:val="auto"/>
    <w:pitch w:val="default"/>
  </w:font>
  <w:font w:name="Montserrat">
    <w:charset w:val="01"/>
    <w:family w:val="auto"/>
    <w:pitch w:val="default"/>
  </w:font>
  <w:font w:name="Symbol">
    <w:altName w:val="serif"/>
    <w:charset w:val="02"/>
    <w:family w:val="auto"/>
    <w:pitch w:val="default"/>
  </w:font>
  <w:font w:name="Montserrat Medium">
    <w:altName w:val="sans-serif"/>
    <w:charset w:val="01"/>
    <w:family w:val="auto"/>
    <w:pitch w:val="default"/>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gif"/><Relationship Id="rId7" Type="http://schemas.openxmlformats.org/officeDocument/2006/relationships/image" Target="media/image4.gif"/><Relationship Id="rId8" Type="http://schemas.openxmlformats.org/officeDocument/2006/relationships/image" Target="media/image4.gif"/><Relationship Id="rId9" Type="http://schemas.openxmlformats.org/officeDocument/2006/relationships/image" Target="media/image4.gif"/><Relationship Id="rId10" Type="http://schemas.openxmlformats.org/officeDocument/2006/relationships/image" Target="media/image4.gif"/><Relationship Id="rId11" Type="http://schemas.openxmlformats.org/officeDocument/2006/relationships/image" Target="media/image4.gif"/><Relationship Id="rId12" Type="http://schemas.openxmlformats.org/officeDocument/2006/relationships/image" Target="media/image4.gif"/><Relationship Id="rId13" Type="http://schemas.openxmlformats.org/officeDocument/2006/relationships/image" Target="media/image4.gif"/><Relationship Id="rId14" Type="http://schemas.openxmlformats.org/officeDocument/2006/relationships/image" Target="media/image5.jpeg"/><Relationship Id="rId15" Type="http://schemas.openxmlformats.org/officeDocument/2006/relationships/image" Target="media/image6.jpeg"/><Relationship Id="rId16" Type="http://schemas.openxmlformats.org/officeDocument/2006/relationships/image" Target="media/image7.jpeg"/><Relationship Id="rId17" Type="http://schemas.openxmlformats.org/officeDocument/2006/relationships/image" Target="media/image8.jpeg"/><Relationship Id="rId18" Type="http://schemas.openxmlformats.org/officeDocument/2006/relationships/image" Target="media/image5.jpeg"/><Relationship Id="rId19" Type="http://schemas.openxmlformats.org/officeDocument/2006/relationships/image" Target="media/image6.jpeg"/><Relationship Id="rId20" Type="http://schemas.openxmlformats.org/officeDocument/2006/relationships/image" Target="media/image7.jpeg"/><Relationship Id="rId21" Type="http://schemas.openxmlformats.org/officeDocument/2006/relationships/image" Target="media/image8.jpeg"/><Relationship Id="rId22" Type="http://schemas.openxmlformats.org/officeDocument/2006/relationships/image" Target="media/image9.jpeg"/><Relationship Id="rId23" Type="http://schemas.openxmlformats.org/officeDocument/2006/relationships/image" Target="media/image10.jpeg"/><Relationship Id="rId24" Type="http://schemas.openxmlformats.org/officeDocument/2006/relationships/image" Target="media/image10.jpeg"/><Relationship Id="rId25" Type="http://schemas.openxmlformats.org/officeDocument/2006/relationships/image" Target="media/image10.jpeg"/><Relationship Id="rId26" Type="http://schemas.openxmlformats.org/officeDocument/2006/relationships/image" Target="media/image9.jpeg"/><Relationship Id="rId27" Type="http://schemas.openxmlformats.org/officeDocument/2006/relationships/image" Target="media/image10.jpeg"/><Relationship Id="rId28" Type="http://schemas.openxmlformats.org/officeDocument/2006/relationships/image" Target="media/image10.jpeg"/><Relationship Id="rId29" Type="http://schemas.openxmlformats.org/officeDocument/2006/relationships/image" Target="media/image11.gif"/><Relationship Id="rId30" Type="http://schemas.openxmlformats.org/officeDocument/2006/relationships/image" Target="media/image9.jpeg"/><Relationship Id="rId31" Type="http://schemas.openxmlformats.org/officeDocument/2006/relationships/image" Target="media/image10.jpeg"/><Relationship Id="rId32" Type="http://schemas.openxmlformats.org/officeDocument/2006/relationships/image" Target="media/image10.jpeg"/><Relationship Id="rId33" Type="http://schemas.openxmlformats.org/officeDocument/2006/relationships/image" Target="media/image12.jpeg"/><Relationship Id="rId34" Type="http://schemas.openxmlformats.org/officeDocument/2006/relationships/image" Target="media/image13.gif"/><Relationship Id="rId35" Type="http://schemas.openxmlformats.org/officeDocument/2006/relationships/image" Target="media/image14.gif"/><Relationship Id="rId36" Type="http://schemas.openxmlformats.org/officeDocument/2006/relationships/image" Target="media/image13.gif"/><Relationship Id="rId37" Type="http://schemas.openxmlformats.org/officeDocument/2006/relationships/image" Target="media/image11.gif"/><Relationship Id="rId38" Type="http://schemas.openxmlformats.org/officeDocument/2006/relationships/image" Target="media/image13.gif"/><Relationship Id="rId39" Type="http://schemas.openxmlformats.org/officeDocument/2006/relationships/image" Target="media/image14.gif"/><Relationship Id="rId40" Type="http://schemas.openxmlformats.org/officeDocument/2006/relationships/image" Target="media/image13.gif"/><Relationship Id="rId41" Type="http://schemas.openxmlformats.org/officeDocument/2006/relationships/image" Target="media/image15.jpeg"/><Relationship Id="rId42" Type="http://schemas.openxmlformats.org/officeDocument/2006/relationships/image" Target="media/image13.gif"/><Relationship Id="rId43" Type="http://schemas.openxmlformats.org/officeDocument/2006/relationships/image" Target="media/image16.gif"/><Relationship Id="rId44" Type="http://schemas.openxmlformats.org/officeDocument/2006/relationships/image" Target="media/image17.jpeg"/><Relationship Id="rId45" Type="http://schemas.openxmlformats.org/officeDocument/2006/relationships/image" Target="media/image18.jpeg"/><Relationship Id="rId46" Type="http://schemas.openxmlformats.org/officeDocument/2006/relationships/image" Target="media/image19.jpeg"/><Relationship Id="rId47" Type="http://schemas.openxmlformats.org/officeDocument/2006/relationships/image" Target="media/image20.jpeg"/><Relationship Id="rId48" Type="http://schemas.openxmlformats.org/officeDocument/2006/relationships/image" Target="media/image21.gif"/><Relationship Id="rId49" Type="http://schemas.openxmlformats.org/officeDocument/2006/relationships/image" Target="media/image4.gif"/><Relationship Id="rId50" Type="http://schemas.openxmlformats.org/officeDocument/2006/relationships/image" Target="media/image21.gif"/><Relationship Id="rId51" Type="http://schemas.openxmlformats.org/officeDocument/2006/relationships/image" Target="media/image22.jpeg"/><Relationship Id="rId52" Type="http://schemas.openxmlformats.org/officeDocument/2006/relationships/image" Target="media/image4.gif"/><Relationship Id="rId53" Type="http://schemas.openxmlformats.org/officeDocument/2006/relationships/image" Target="media/image20.jpeg"/><Relationship Id="rId54" Type="http://schemas.openxmlformats.org/officeDocument/2006/relationships/image" Target="media/image4.gif"/><Relationship Id="rId55" Type="http://schemas.openxmlformats.org/officeDocument/2006/relationships/image" Target="media/image21.gif"/><Relationship Id="rId56" Type="http://schemas.openxmlformats.org/officeDocument/2006/relationships/image" Target="media/image22.jpeg"/><Relationship Id="rId57" Type="http://schemas.openxmlformats.org/officeDocument/2006/relationships/image" Target="media/image4.gif"/><Relationship Id="rId58" Type="http://schemas.openxmlformats.org/officeDocument/2006/relationships/image" Target="media/image21.gif"/><Relationship Id="rId59" Type="http://schemas.openxmlformats.org/officeDocument/2006/relationships/image" Target="media/image4.gif"/><Relationship Id="rId60" Type="http://schemas.openxmlformats.org/officeDocument/2006/relationships/image" Target="media/image21.gif"/><Relationship Id="rId61" Type="http://schemas.openxmlformats.org/officeDocument/2006/relationships/image" Target="media/image20.jpeg"/><Relationship Id="rId62" Type="http://schemas.openxmlformats.org/officeDocument/2006/relationships/image" Target="media/image4.gif"/><Relationship Id="rId63" Type="http://schemas.openxmlformats.org/officeDocument/2006/relationships/image" Target="media/image20.jpeg"/><Relationship Id="rId64" Type="http://schemas.openxmlformats.org/officeDocument/2006/relationships/image" Target="media/image21.gif"/><Relationship Id="rId65" Type="http://schemas.openxmlformats.org/officeDocument/2006/relationships/image" Target="media/image4.gif"/><Relationship Id="rId66" Type="http://schemas.openxmlformats.org/officeDocument/2006/relationships/image" Target="media/image20.jpeg"/><Relationship Id="rId67" Type="http://schemas.openxmlformats.org/officeDocument/2006/relationships/image" Target="media/image21.gif"/><Relationship Id="rId68" Type="http://schemas.openxmlformats.org/officeDocument/2006/relationships/image" Target="media/image13.gif"/><Relationship Id="rId69" Type="http://schemas.openxmlformats.org/officeDocument/2006/relationships/image" Target="media/image13.gif"/><Relationship Id="rId70" Type="http://schemas.openxmlformats.org/officeDocument/2006/relationships/image" Target="media/image19.jpeg"/><Relationship Id="rId71" Type="http://schemas.openxmlformats.org/officeDocument/2006/relationships/image" Target="media/image13.gif"/><Relationship Id="rId72" Type="http://schemas.openxmlformats.org/officeDocument/2006/relationships/image" Target="media/image19.jpeg"/><Relationship Id="rId73" Type="http://schemas.openxmlformats.org/officeDocument/2006/relationships/image" Target="media/image19.jpeg"/><Relationship Id="rId74" Type="http://schemas.openxmlformats.org/officeDocument/2006/relationships/image" Target="media/image13.gif"/><Relationship Id="rId75" Type="http://schemas.openxmlformats.org/officeDocument/2006/relationships/image" Target="media/image13.gif"/><Relationship Id="rId76" Type="http://schemas.openxmlformats.org/officeDocument/2006/relationships/image" Target="media/image20.jpeg"/><Relationship Id="rId77" Type="http://schemas.openxmlformats.org/officeDocument/2006/relationships/image" Target="media/image21.gif"/><Relationship Id="rId78" Type="http://schemas.openxmlformats.org/officeDocument/2006/relationships/image" Target="media/image4.gif"/><Relationship Id="rId79" Type="http://schemas.openxmlformats.org/officeDocument/2006/relationships/image" Target="media/image21.gif"/><Relationship Id="rId80" Type="http://schemas.openxmlformats.org/officeDocument/2006/relationships/image" Target="media/image21.gif"/><Relationship Id="rId81" Type="http://schemas.openxmlformats.org/officeDocument/2006/relationships/image" Target="media/image4.gif"/><Relationship Id="rId82" Type="http://schemas.openxmlformats.org/officeDocument/2006/relationships/image" Target="media/image21.gif"/><Relationship Id="rId83" Type="http://schemas.openxmlformats.org/officeDocument/2006/relationships/image" Target="media/image21.gif"/><Relationship Id="rId84" Type="http://schemas.openxmlformats.org/officeDocument/2006/relationships/image" Target="media/image4.gif"/><Relationship Id="rId85" Type="http://schemas.openxmlformats.org/officeDocument/2006/relationships/image" Target="media/image20.jpeg"/><Relationship Id="rId86" Type="http://schemas.openxmlformats.org/officeDocument/2006/relationships/image" Target="media/image4.gif"/><Relationship Id="rId87" Type="http://schemas.openxmlformats.org/officeDocument/2006/relationships/image" Target="media/image21.gif"/><Relationship Id="rId88" Type="http://schemas.openxmlformats.org/officeDocument/2006/relationships/image" Target="media/image21.gif"/><Relationship Id="rId89" Type="http://schemas.openxmlformats.org/officeDocument/2006/relationships/image" Target="media/image4.gif"/><Relationship Id="rId90" Type="http://schemas.openxmlformats.org/officeDocument/2006/relationships/image" Target="media/image21.gif"/><Relationship Id="rId91" Type="http://schemas.openxmlformats.org/officeDocument/2006/relationships/image" Target="media/image4.gif"/><Relationship Id="rId92" Type="http://schemas.openxmlformats.org/officeDocument/2006/relationships/image" Target="media/image21.gif"/><Relationship Id="rId93" Type="http://schemas.openxmlformats.org/officeDocument/2006/relationships/image" Target="media/image20.jpeg"/><Relationship Id="rId94" Type="http://schemas.openxmlformats.org/officeDocument/2006/relationships/image" Target="media/image4.gif"/><Relationship Id="rId95" Type="http://schemas.openxmlformats.org/officeDocument/2006/relationships/image" Target="media/image20.jpeg"/><Relationship Id="rId96" Type="http://schemas.openxmlformats.org/officeDocument/2006/relationships/image" Target="media/image21.gif"/><Relationship Id="rId97" Type="http://schemas.openxmlformats.org/officeDocument/2006/relationships/image" Target="media/image4.gif"/><Relationship Id="rId98" Type="http://schemas.openxmlformats.org/officeDocument/2006/relationships/image" Target="media/image20.jpeg"/><Relationship Id="rId99" Type="http://schemas.openxmlformats.org/officeDocument/2006/relationships/image" Target="media/image21.gif"/><Relationship Id="rId100" Type="http://schemas.openxmlformats.org/officeDocument/2006/relationships/image" Target="media/image13.gif"/><Relationship Id="rId101" Type="http://schemas.openxmlformats.org/officeDocument/2006/relationships/image" Target="media/image23.jpeg"/><Relationship Id="rId102" Type="http://schemas.openxmlformats.org/officeDocument/2006/relationships/image" Target="media/image13.gif"/><Relationship Id="rId103" Type="http://schemas.openxmlformats.org/officeDocument/2006/relationships/image" Target="media/image13.gif"/><Relationship Id="rId104" Type="http://schemas.openxmlformats.org/officeDocument/2006/relationships/image" Target="media/image13.gif"/><Relationship Id="rId105" Type="http://schemas.openxmlformats.org/officeDocument/2006/relationships/image" Target="media/image24.jpeg"/><Relationship Id="rId106" Type="http://schemas.openxmlformats.org/officeDocument/2006/relationships/image" Target="media/image25.jpeg"/><Relationship Id="rId107" Type="http://schemas.openxmlformats.org/officeDocument/2006/relationships/image" Target="media/image13.gif"/><Relationship Id="rId108" Type="http://schemas.openxmlformats.org/officeDocument/2006/relationships/image" Target="media/image26.jpeg"/><Relationship Id="rId109" Type="http://schemas.openxmlformats.org/officeDocument/2006/relationships/image" Target="media/image27.jpeg"/><Relationship Id="rId110" Type="http://schemas.openxmlformats.org/officeDocument/2006/relationships/image" Target="media/image13.gif"/><Relationship Id="rId111" Type="http://schemas.openxmlformats.org/officeDocument/2006/relationships/image" Target="media/image13.gif"/><Relationship Id="rId112" Type="http://schemas.openxmlformats.org/officeDocument/2006/relationships/image" Target="media/image13.gif"/><Relationship Id="rId113" Type="http://schemas.openxmlformats.org/officeDocument/2006/relationships/image" Target="media/image19.jpeg"/><Relationship Id="rId114" Type="http://schemas.openxmlformats.org/officeDocument/2006/relationships/image" Target="media/image13.gif"/><Relationship Id="rId115" Type="http://schemas.openxmlformats.org/officeDocument/2006/relationships/image" Target="media/image24.jpeg"/><Relationship Id="rId116" Type="http://schemas.openxmlformats.org/officeDocument/2006/relationships/image" Target="media/image13.gif"/><Relationship Id="rId117" Type="http://schemas.openxmlformats.org/officeDocument/2006/relationships/image" Target="media/image28.jpeg"/><Relationship Id="rId118" Type="http://schemas.openxmlformats.org/officeDocument/2006/relationships/image" Target="media/image13.gif"/><Relationship Id="rId119" Type="http://schemas.openxmlformats.org/officeDocument/2006/relationships/image" Target="media/image26.jpeg"/><Relationship Id="rId120" Type="http://schemas.openxmlformats.org/officeDocument/2006/relationships/image" Target="media/image13.gif"/><Relationship Id="rId121" Type="http://schemas.openxmlformats.org/officeDocument/2006/relationships/image" Target="media/image29.jpeg"/><Relationship Id="rId122" Type="http://schemas.openxmlformats.org/officeDocument/2006/relationships/image" Target="media/image13.gif"/><Relationship Id="rId123" Type="http://schemas.openxmlformats.org/officeDocument/2006/relationships/image" Target="media/image30.jpeg"/><Relationship Id="rId124" Type="http://schemas.openxmlformats.org/officeDocument/2006/relationships/image" Target="media/image13.gif"/><Relationship Id="rId125" Type="http://schemas.openxmlformats.org/officeDocument/2006/relationships/image" Target="media/image31.jpeg"/><Relationship Id="rId126" Type="http://schemas.openxmlformats.org/officeDocument/2006/relationships/image" Target="media/image13.gif"/><Relationship Id="rId127" Type="http://schemas.openxmlformats.org/officeDocument/2006/relationships/image" Target="media/image27.jpeg"/><Relationship Id="rId128" Type="http://schemas.openxmlformats.org/officeDocument/2006/relationships/image" Target="media/image13.gif"/><Relationship Id="rId129" Type="http://schemas.openxmlformats.org/officeDocument/2006/relationships/image" Target="media/image25.jpeg"/><Relationship Id="rId130" Type="http://schemas.openxmlformats.org/officeDocument/2006/relationships/image" Target="media/image13.gif"/><Relationship Id="rId131" Type="http://schemas.openxmlformats.org/officeDocument/2006/relationships/image" Target="media/image32.jpeg"/><Relationship Id="rId132" Type="http://schemas.openxmlformats.org/officeDocument/2006/relationships/image" Target="media/image13.gif"/><Relationship Id="rId133" Type="http://schemas.openxmlformats.org/officeDocument/2006/relationships/image" Target="media/image13.gif"/><Relationship Id="rId134" Type="http://schemas.openxmlformats.org/officeDocument/2006/relationships/image" Target="media/image13.gif"/><Relationship Id="rId135" Type="http://schemas.openxmlformats.org/officeDocument/2006/relationships/image" Target="media/image13.gif"/><Relationship Id="rId136" Type="http://schemas.openxmlformats.org/officeDocument/2006/relationships/image" Target="media/image13.gif"/><Relationship Id="rId137" Type="http://schemas.openxmlformats.org/officeDocument/2006/relationships/image" Target="media/image19.jpeg"/><Relationship Id="rId138" Type="http://schemas.openxmlformats.org/officeDocument/2006/relationships/image" Target="media/image13.gif"/><Relationship Id="rId139" Type="http://schemas.openxmlformats.org/officeDocument/2006/relationships/image" Target="media/image13.gif"/><Relationship Id="rId140" Type="http://schemas.openxmlformats.org/officeDocument/2006/relationships/image" Target="media/image13.gif"/><Relationship Id="rId141" Type="http://schemas.openxmlformats.org/officeDocument/2006/relationships/image" Target="media/image33.gif"/><Relationship Id="rId142" Type="http://schemas.openxmlformats.org/officeDocument/2006/relationships/image" Target="media/image13.gif"/><Relationship Id="rId143" Type="http://schemas.openxmlformats.org/officeDocument/2006/relationships/image" Target="media/image19.jpeg"/><Relationship Id="rId144" Type="http://schemas.openxmlformats.org/officeDocument/2006/relationships/image" Target="media/image13.gif"/><Relationship Id="rId145" Type="http://schemas.openxmlformats.org/officeDocument/2006/relationships/image" Target="media/image34.jpeg"/><Relationship Id="rId146" Type="http://schemas.openxmlformats.org/officeDocument/2006/relationships/image" Target="media/image34.jpeg"/><Relationship Id="rId147" Type="http://schemas.openxmlformats.org/officeDocument/2006/relationships/image" Target="media/image35.gif"/><Relationship Id="rId148" Type="http://schemas.openxmlformats.org/officeDocument/2006/relationships/image" Target="media/image13.gif"/><Relationship Id="rId149" Type="http://schemas.openxmlformats.org/officeDocument/2006/relationships/image" Target="media/image13.gif"/><Relationship Id="rId150" Type="http://schemas.openxmlformats.org/officeDocument/2006/relationships/image" Target="media/image36.jpeg"/><Relationship Id="rId151" Type="http://schemas.openxmlformats.org/officeDocument/2006/relationships/image" Target="media/image37.jpeg"/><Relationship Id="rId152" Type="http://schemas.openxmlformats.org/officeDocument/2006/relationships/image" Target="media/image36.jpeg"/><Relationship Id="rId153" Type="http://schemas.openxmlformats.org/officeDocument/2006/relationships/image" Target="media/image37.jpeg"/><Relationship Id="rId154" Type="http://schemas.openxmlformats.org/officeDocument/2006/relationships/image" Target="media/image36.jpeg"/><Relationship Id="rId155" Type="http://schemas.openxmlformats.org/officeDocument/2006/relationships/image" Target="media/image37.jpeg"/><Relationship Id="rId156" Type="http://schemas.openxmlformats.org/officeDocument/2006/relationships/image" Target="media/image36.jpeg"/><Relationship Id="rId157" Type="http://schemas.openxmlformats.org/officeDocument/2006/relationships/image" Target="media/image37.jpeg"/><Relationship Id="rId158" Type="http://schemas.openxmlformats.org/officeDocument/2006/relationships/image" Target="media/image36.jpeg"/><Relationship Id="rId159" Type="http://schemas.openxmlformats.org/officeDocument/2006/relationships/image" Target="media/image37.jpeg"/><Relationship Id="rId160" Type="http://schemas.openxmlformats.org/officeDocument/2006/relationships/image" Target="media/image36.jpeg"/><Relationship Id="rId161" Type="http://schemas.openxmlformats.org/officeDocument/2006/relationships/image" Target="media/image37.jpeg"/><Relationship Id="rId162" Type="http://schemas.openxmlformats.org/officeDocument/2006/relationships/image" Target="media/image36.jpeg"/><Relationship Id="rId163" Type="http://schemas.openxmlformats.org/officeDocument/2006/relationships/image" Target="media/image37.jpeg"/><Relationship Id="rId164" Type="http://schemas.openxmlformats.org/officeDocument/2006/relationships/image" Target="media/image36.jpeg"/><Relationship Id="rId165" Type="http://schemas.openxmlformats.org/officeDocument/2006/relationships/image" Target="media/image37.jpeg"/><Relationship Id="rId166" Type="http://schemas.openxmlformats.org/officeDocument/2006/relationships/image" Target="media/image36.jpeg"/><Relationship Id="rId167" Type="http://schemas.openxmlformats.org/officeDocument/2006/relationships/image" Target="media/image37.jpeg"/><Relationship Id="rId168" Type="http://schemas.openxmlformats.org/officeDocument/2006/relationships/image" Target="media/image36.jpeg"/><Relationship Id="rId169" Type="http://schemas.openxmlformats.org/officeDocument/2006/relationships/image" Target="media/image36.jpeg"/><Relationship Id="rId170" Type="http://schemas.openxmlformats.org/officeDocument/2006/relationships/image" Target="media/image36.jpeg"/><Relationship Id="rId171" Type="http://schemas.openxmlformats.org/officeDocument/2006/relationships/image" Target="media/image36.jpeg"/><Relationship Id="rId172" Type="http://schemas.openxmlformats.org/officeDocument/2006/relationships/image" Target="media/image13.gif"/><Relationship Id="rId173" Type="http://schemas.openxmlformats.org/officeDocument/2006/relationships/image" Target="media/image13.gif"/><Relationship Id="rId174" Type="http://schemas.openxmlformats.org/officeDocument/2006/relationships/image" Target="media/image13.gif"/><Relationship Id="rId175" Type="http://schemas.openxmlformats.org/officeDocument/2006/relationships/image" Target="media/image38.jpeg"/><Relationship Id="rId176" Type="http://schemas.openxmlformats.org/officeDocument/2006/relationships/image" Target="media/image13.gif"/><Relationship Id="rId177" Type="http://schemas.openxmlformats.org/officeDocument/2006/relationships/image" Target="media/image13.gif"/><Relationship Id="rId178" Type="http://schemas.openxmlformats.org/officeDocument/2006/relationships/image" Target="media/image39.jpeg"/><Relationship Id="rId179" Type="http://schemas.openxmlformats.org/officeDocument/2006/relationships/image" Target="media/image40.jpeg"/><Relationship Id="rId180" Type="http://schemas.openxmlformats.org/officeDocument/2006/relationships/image" Target="media/image41.jpeg"/><Relationship Id="rId181" Type="http://schemas.openxmlformats.org/officeDocument/2006/relationships/image" Target="media/image42.jpeg"/><Relationship Id="rId182" Type="http://schemas.openxmlformats.org/officeDocument/2006/relationships/image" Target="media/image13.gif"/><Relationship Id="rId183" Type="http://schemas.openxmlformats.org/officeDocument/2006/relationships/image" Target="media/image13.gif"/><Relationship Id="rId184" Type="http://schemas.openxmlformats.org/officeDocument/2006/relationships/image" Target="media/image13.gif"/><Relationship Id="rId185" Type="http://schemas.openxmlformats.org/officeDocument/2006/relationships/image" Target="media/image43.jpeg"/><Relationship Id="rId186" Type="http://schemas.openxmlformats.org/officeDocument/2006/relationships/image" Target="media/image13.gif"/><Relationship Id="rId187" Type="http://schemas.openxmlformats.org/officeDocument/2006/relationships/image" Target="media/image13.gif"/><Relationship Id="rId188" Type="http://schemas.openxmlformats.org/officeDocument/2006/relationships/image" Target="media/image44.jpeg"/><Relationship Id="rId189" Type="http://schemas.openxmlformats.org/officeDocument/2006/relationships/image" Target="media/image45.jpeg"/><Relationship Id="rId190" Type="http://schemas.openxmlformats.org/officeDocument/2006/relationships/image" Target="media/image13.gif"/><Relationship Id="rId191" Type="http://schemas.openxmlformats.org/officeDocument/2006/relationships/image" Target="media/image13.gif"/><Relationship Id="rId192" Type="http://schemas.openxmlformats.org/officeDocument/2006/relationships/image" Target="media/image13.gif"/><Relationship Id="rId193" Type="http://schemas.openxmlformats.org/officeDocument/2006/relationships/image" Target="media/image13.gif"/><Relationship Id="rId194" Type="http://schemas.openxmlformats.org/officeDocument/2006/relationships/image" Target="media/image46.jpeg"/><Relationship Id="rId195" Type="http://schemas.openxmlformats.org/officeDocument/2006/relationships/image" Target="media/image13.gif"/><Relationship Id="rId196" Type="http://schemas.openxmlformats.org/officeDocument/2006/relationships/image" Target="media/image13.gif"/><Relationship Id="rId197" Type="http://schemas.openxmlformats.org/officeDocument/2006/relationships/image" Target="media/image13.gif"/><Relationship Id="rId198" Type="http://schemas.openxmlformats.org/officeDocument/2006/relationships/image" Target="media/image13.gif"/><Relationship Id="rId199" Type="http://schemas.openxmlformats.org/officeDocument/2006/relationships/image" Target="media/image13.gif"/><Relationship Id="rId200" Type="http://schemas.openxmlformats.org/officeDocument/2006/relationships/image" Target="media/image13.gif"/><Relationship Id="rId201" Type="http://schemas.openxmlformats.org/officeDocument/2006/relationships/image" Target="media/image13.gif"/><Relationship Id="rId202" Type="http://schemas.openxmlformats.org/officeDocument/2006/relationships/image" Target="media/image13.gif"/><Relationship Id="rId203" Type="http://schemas.openxmlformats.org/officeDocument/2006/relationships/image" Target="media/image13.gif"/><Relationship Id="rId204" Type="http://schemas.openxmlformats.org/officeDocument/2006/relationships/image" Target="media/image13.gif"/><Relationship Id="rId205" Type="http://schemas.openxmlformats.org/officeDocument/2006/relationships/image" Target="media/image13.gif"/><Relationship Id="rId206" Type="http://schemas.openxmlformats.org/officeDocument/2006/relationships/image" Target="media/image13.gif"/><Relationship Id="rId207" Type="http://schemas.openxmlformats.org/officeDocument/2006/relationships/image" Target="media/image13.gif"/><Relationship Id="rId208" Type="http://schemas.openxmlformats.org/officeDocument/2006/relationships/image" Target="media/image13.gif"/><Relationship Id="rId209" Type="http://schemas.openxmlformats.org/officeDocument/2006/relationships/image" Target="media/image13.gif"/><Relationship Id="rId210" Type="http://schemas.openxmlformats.org/officeDocument/2006/relationships/image" Target="media/image47.jpeg"/><Relationship Id="rId211" Type="http://schemas.openxmlformats.org/officeDocument/2006/relationships/image" Target="media/image13.gif"/><Relationship Id="rId212" Type="http://schemas.openxmlformats.org/officeDocument/2006/relationships/image" Target="media/image48.jpeg"/><Relationship Id="rId213" Type="http://schemas.openxmlformats.org/officeDocument/2006/relationships/image" Target="media/image13.gif"/><Relationship Id="rId214" Type="http://schemas.openxmlformats.org/officeDocument/2006/relationships/image" Target="media/image49.jpeg"/><Relationship Id="rId215" Type="http://schemas.openxmlformats.org/officeDocument/2006/relationships/image" Target="media/image13.gif"/><Relationship Id="rId216" Type="http://schemas.openxmlformats.org/officeDocument/2006/relationships/image" Target="media/image13.gif"/><Relationship Id="rId217" Type="http://schemas.openxmlformats.org/officeDocument/2006/relationships/image" Target="media/image19.jpeg"/><Relationship Id="rId218" Type="http://schemas.openxmlformats.org/officeDocument/2006/relationships/image" Target="media/image13.gif"/><Relationship Id="rId219" Type="http://schemas.openxmlformats.org/officeDocument/2006/relationships/image" Target="media/image13.gif"/><Relationship Id="rId220" Type="http://schemas.openxmlformats.org/officeDocument/2006/relationships/image" Target="media/image13.gif"/><Relationship Id="rId221" Type="http://schemas.openxmlformats.org/officeDocument/2006/relationships/image" Target="media/image50.jpeg"/><Relationship Id="rId222" Type="http://schemas.openxmlformats.org/officeDocument/2006/relationships/image" Target="media/image13.gif"/><Relationship Id="rId223" Type="http://schemas.openxmlformats.org/officeDocument/2006/relationships/image" Target="media/image13.gif"/><Relationship Id="rId224" Type="http://schemas.openxmlformats.org/officeDocument/2006/relationships/image" Target="media/image13.gif"/><Relationship Id="rId225" Type="http://schemas.openxmlformats.org/officeDocument/2006/relationships/image" Target="media/image13.gif"/><Relationship Id="rId226" Type="http://schemas.openxmlformats.org/officeDocument/2006/relationships/image" Target="media/image13.gif"/><Relationship Id="rId227" Type="http://schemas.openxmlformats.org/officeDocument/2006/relationships/image" Target="media/image13.gif"/><Relationship Id="rId228" Type="http://schemas.openxmlformats.org/officeDocument/2006/relationships/image" Target="media/image13.gif"/><Relationship Id="rId229" Type="http://schemas.openxmlformats.org/officeDocument/2006/relationships/image" Target="media/image13.gif"/><Relationship Id="rId230" Type="http://schemas.openxmlformats.org/officeDocument/2006/relationships/image" Target="media/image13.gif"/><Relationship Id="rId231" Type="http://schemas.openxmlformats.org/officeDocument/2006/relationships/image" Target="media/image13.gif"/><Relationship Id="rId232" Type="http://schemas.openxmlformats.org/officeDocument/2006/relationships/image" Target="media/image13.gif"/><Relationship Id="rId233" Type="http://schemas.openxmlformats.org/officeDocument/2006/relationships/image" Target="media/image13.gif"/><Relationship Id="rId234" Type="http://schemas.openxmlformats.org/officeDocument/2006/relationships/image" Target="media/image13.gif"/><Relationship Id="rId235" Type="http://schemas.openxmlformats.org/officeDocument/2006/relationships/image" Target="media/image13.gif"/><Relationship Id="rId236" Type="http://schemas.openxmlformats.org/officeDocument/2006/relationships/image" Target="media/image13.gif"/><Relationship Id="rId237" Type="http://schemas.openxmlformats.org/officeDocument/2006/relationships/image" Target="media/image13.gif"/><Relationship Id="rId238" Type="http://schemas.openxmlformats.org/officeDocument/2006/relationships/image" Target="media/image13.gif"/><Relationship Id="rId239" Type="http://schemas.openxmlformats.org/officeDocument/2006/relationships/image" Target="media/image13.gif"/><Relationship Id="rId240" Type="http://schemas.openxmlformats.org/officeDocument/2006/relationships/image" Target="media/image13.gif"/><Relationship Id="rId241" Type="http://schemas.openxmlformats.org/officeDocument/2006/relationships/image" Target="media/image13.gif"/><Relationship Id="rId242" Type="http://schemas.openxmlformats.org/officeDocument/2006/relationships/image" Target="media/image13.gif"/><Relationship Id="rId243" Type="http://schemas.openxmlformats.org/officeDocument/2006/relationships/image" Target="media/image13.gif"/><Relationship Id="rId244" Type="http://schemas.openxmlformats.org/officeDocument/2006/relationships/image" Target="media/image13.gif"/><Relationship Id="rId245" Type="http://schemas.openxmlformats.org/officeDocument/2006/relationships/image" Target="media/image13.gif"/><Relationship Id="rId246" Type="http://schemas.openxmlformats.org/officeDocument/2006/relationships/image" Target="media/image13.gif"/><Relationship Id="rId247" Type="http://schemas.openxmlformats.org/officeDocument/2006/relationships/image" Target="media/image13.gif"/><Relationship Id="rId248" Type="http://schemas.openxmlformats.org/officeDocument/2006/relationships/image" Target="media/image13.gif"/><Relationship Id="rId249" Type="http://schemas.openxmlformats.org/officeDocument/2006/relationships/image" Target="media/image13.gif"/><Relationship Id="rId250" Type="http://schemas.openxmlformats.org/officeDocument/2006/relationships/image" Target="media/image13.gif"/><Relationship Id="rId251" Type="http://schemas.openxmlformats.org/officeDocument/2006/relationships/image" Target="media/image13.gif"/><Relationship Id="rId252" Type="http://schemas.openxmlformats.org/officeDocument/2006/relationships/image" Target="media/image13.gif"/><Relationship Id="rId253" Type="http://schemas.openxmlformats.org/officeDocument/2006/relationships/image" Target="media/image51.jpeg"/><Relationship Id="rId254" Type="http://schemas.openxmlformats.org/officeDocument/2006/relationships/image" Target="media/image52.jpeg"/><Relationship Id="rId255" Type="http://schemas.openxmlformats.org/officeDocument/2006/relationships/fontTable" Target="fontTable.xml"/><Relationship Id="rId2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58218</Words>
  <Characters>321176</Characters>
  <CharactersWithSpaces>380875</CharactersWithSpaces>
  <Paragraphs>8088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