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7479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4796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Sivaraman Rukmini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NUTANIX,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1740 TECHNOLOGY DR.,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Nutanix,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NTNX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95110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6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4,761</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1300" w:type="dxa"/>
            <w:vAlign w:val="bottom"/>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284,383</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6,250</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1300" w:type="dxa"/>
            <w:vAlign w:val="bottom"/>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290,633</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4,765</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1300" w:type="dxa"/>
            <w:vAlign w:val="bottom"/>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295,398</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2,977</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1300" w:type="dxa"/>
            <w:vAlign w:val="bottom"/>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298,375</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3,396</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1300" w:type="dxa"/>
            <w:vAlign w:val="bottom"/>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301,771</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w w:val="91"/>
              </w:rPr>
              <w:t>10,879</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49.4</w:t>
            </w:r>
          </w:p>
        </w:tc>
        <w:tc>
          <w:tcPr>
            <w:tcW w:w="1300" w:type="dxa"/>
            <w:vAlign w:val="bottom"/>
            <w:tcBorders>
              <w:bottom w:val="single" w:sz="8" w:color="2C2C2C"/>
            </w:tcBorders>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290,892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center"/>
              <w:ind w:right="13"/>
              <w:spacing w:after="0" w:line="130"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gridSpan w:val="2"/>
          </w:tcPr>
          <w:p>
            <w:pPr>
              <w:jc w:val="center"/>
              <w:ind w:right="4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6"/>
              <w:spacing w:after="0"/>
              <w:rPr>
                <w:sz w:val="20"/>
                <w:szCs w:val="20"/>
                <w:color w:val="auto"/>
              </w:rPr>
            </w:pPr>
            <w:r>
              <w:rPr>
                <w:rFonts w:ascii="Times New Roman" w:cs="Times New Roman" w:eastAsia="Times New Roman" w:hAnsi="Times New Roman"/>
                <w:sz w:val="17"/>
                <w:szCs w:val="17"/>
                <w:color w:val="0000FF"/>
              </w:rPr>
              <w:t>4,761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4,761</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jc w:val="center"/>
              <w:ind w:right="47"/>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1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4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tcPr>
          <w:p>
            <w:pPr>
              <w:jc w:val="center"/>
              <w:ind w:right="4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6"/>
              <w:spacing w:after="0"/>
              <w:rPr>
                <w:sz w:val="20"/>
                <w:szCs w:val="20"/>
                <w:color w:val="auto"/>
              </w:rPr>
            </w:pPr>
            <w:r>
              <w:rPr>
                <w:rFonts w:ascii="Times New Roman" w:cs="Times New Roman" w:eastAsia="Times New Roman" w:hAnsi="Times New Roman"/>
                <w:sz w:val="17"/>
                <w:szCs w:val="17"/>
                <w:color w:val="0000FF"/>
              </w:rPr>
              <w:t>6,250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6,250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jc w:val="center"/>
              <w:ind w:right="47"/>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6,250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4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jc w:val="center"/>
              <w:ind w:right="4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6"/>
              <w:spacing w:after="0"/>
              <w:rPr>
                <w:sz w:val="20"/>
                <w:szCs w:val="20"/>
                <w:color w:val="auto"/>
              </w:rPr>
            </w:pPr>
            <w:r>
              <w:rPr>
                <w:rFonts w:ascii="Times New Roman" w:cs="Times New Roman" w:eastAsia="Times New Roman" w:hAnsi="Times New Roman"/>
                <w:sz w:val="17"/>
                <w:szCs w:val="17"/>
                <w:color w:val="0000FF"/>
              </w:rPr>
              <w:t>4,765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4,765</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jc w:val="center"/>
              <w:ind w:right="47"/>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23,827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4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gridSpan w:val="2"/>
          </w:tcPr>
          <w:p>
            <w:pPr>
              <w:jc w:val="center"/>
              <w:ind w:right="4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6"/>
              <w:spacing w:after="0"/>
              <w:rPr>
                <w:sz w:val="20"/>
                <w:szCs w:val="20"/>
                <w:color w:val="auto"/>
              </w:rPr>
            </w:pPr>
            <w:r>
              <w:rPr>
                <w:rFonts w:ascii="Times New Roman" w:cs="Times New Roman" w:eastAsia="Times New Roman" w:hAnsi="Times New Roman"/>
                <w:sz w:val="17"/>
                <w:szCs w:val="17"/>
                <w:color w:val="0000FF"/>
              </w:rPr>
              <w:t>2,977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2,977</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jc w:val="center"/>
              <w:ind w:right="47"/>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26,798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4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gridSpan w:val="2"/>
          </w:tcPr>
          <w:p>
            <w:pPr>
              <w:jc w:val="center"/>
              <w:ind w:right="4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6"/>
              <w:spacing w:after="0"/>
              <w:rPr>
                <w:sz w:val="20"/>
                <w:szCs w:val="20"/>
                <w:color w:val="auto"/>
              </w:rPr>
            </w:pPr>
            <w:r>
              <w:rPr>
                <w:rFonts w:ascii="Times New Roman" w:cs="Times New Roman" w:eastAsia="Times New Roman" w:hAnsi="Times New Roman"/>
                <w:sz w:val="17"/>
                <w:szCs w:val="17"/>
                <w:color w:val="0000FF"/>
              </w:rPr>
              <w:t>3,396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3,396</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jc w:val="center"/>
              <w:ind w:right="47"/>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44,151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4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-3528695</wp:posOffset>
            </wp:positionV>
            <wp:extent cx="29210" cy="3533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337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arising from the vesting of Reporting Person's Restricted Stock Units, or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September 15, 2022, subject to the Reporting Person continuing to provide service to the Issuer through each vesting date.</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2022, subject to the Reporting Person continuing to provide service to the Issuer through each vesting date.</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2023, subject to the Reporting Person continuing to provide service to the Issuer through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2024, subject to the Reporting Person continuing to provide service to the Issuer</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through each vesting date.</w:t>
      </w:r>
    </w:p>
    <w:p>
      <w:pPr>
        <w:spacing w:after="0" w:line="46" w:lineRule="exact"/>
        <w:rPr>
          <w:sz w:val="20"/>
          <w:szCs w:val="20"/>
          <w:color w:val="auto"/>
        </w:rPr>
      </w:pPr>
    </w:p>
    <w:p>
      <w:pPr>
        <w:ind w:firstLine="3"/>
        <w:spacing w:after="0" w:line="250"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2025, subject to the Reporting Person continuing to provide service to the Issuer through each vesting date.</w:t>
      </w:r>
    </w:p>
    <w:p>
      <w:pPr>
        <w:ind w:left="6560"/>
        <w:spacing w:after="0" w:line="181" w:lineRule="auto"/>
        <w:rPr>
          <w:sz w:val="20"/>
          <w:szCs w:val="20"/>
          <w:color w:val="auto"/>
        </w:rPr>
      </w:pPr>
      <w:r>
        <w:rPr>
          <w:rFonts w:ascii="Times New Roman" w:cs="Times New Roman" w:eastAsia="Times New Roman" w:hAnsi="Times New Roman"/>
          <w:sz w:val="17"/>
          <w:szCs w:val="17"/>
          <w:color w:val="0000FF"/>
        </w:rPr>
        <w:t xml:space="preserve">/s/ Raymond Hum, Attorney in </w:t>
      </w:r>
      <w:r>
        <w:rPr>
          <w:rFonts w:ascii="Times New Roman" w:cs="Times New Roman" w:eastAsia="Times New Roman" w:hAnsi="Times New Roman"/>
          <w:sz w:val="32"/>
          <w:szCs w:val="32"/>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8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4910" TargetMode="External"/><Relationship Id="rId14" Type="http://schemas.openxmlformats.org/officeDocument/2006/relationships/hyperlink" Target="http://www.sec.gov/cgi-bin/browse-edgar?action=getcompany&amp;CIK=00016187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2026-06-17T16:20:12Z</dcterms:created>
  <dcterms:modified xsi:type="dcterms:W3CDTF">2026-06-17T16:20:12Z</dcterms:modified>
</cp:coreProperties>
</file>