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000000"/>
          <w:sz w:val="32"/>
        </w:rPr>
      </w:pPr>
      <w:bookmarkStart w:id="0" w:name="ntnx-20260504.htm"/>
      <w:bookmarkStart w:id="1" w:name="ksntnx20260504"/>
      <w:bookmarkEnd w:id="0"/>
      <w:bookmarkEnd w:id="1"/>
      <w:r>
        <w:rPr>
          <w:rFonts w:ascii="Arial" w:hAnsi="Arial"/>
          <w:b/>
          <w:color w:val="000000"/>
          <w:sz w:val="32"/>
        </w:rPr>
        <w:t>UNITED STATES</w:t>
        <w:br/>
        <w:t>SECURITIES AND EXCHANGE COMMISSION</w:t>
      </w:r>
    </w:p>
    <w:p>
      <w:pPr>
        <w:pStyle w:val="TextBody"/>
        <w:bidi w:val="0"/>
        <w:spacing w:before="40" w:after="40"/>
        <w:jc w:val="center"/>
        <w:rPr>
          <w:rFonts w:ascii="Arial" w:hAnsi="Arial"/>
          <w:b/>
          <w:color w:val="000000"/>
          <w:sz w:val="20"/>
        </w:rPr>
      </w:pPr>
      <w:r>
        <w:rPr>
          <w:rFonts w:ascii="Arial" w:hAnsi="Arial"/>
          <w:b/>
          <w:color w:val="000000"/>
          <w:sz w:val="20"/>
        </w:rPr>
        <w:t>Washington, D.C. 20549</w:t>
      </w:r>
    </w:p>
    <w:p>
      <w:pPr>
        <w:pStyle w:val="TextBody"/>
        <w:bidi w:val="0"/>
        <w:spacing w:before="0" w:after="40"/>
        <w:jc w:val="center"/>
        <w:rPr/>
      </w:pPr>
      <w:r>
        <w:rPr/>
        <w:t> </w:t>
      </w:r>
    </w:p>
    <w:p>
      <w:pPr>
        <w:pStyle w:val="TextBody"/>
        <w:bidi w:val="0"/>
        <w:spacing w:before="0" w:after="40"/>
        <w:jc w:val="center"/>
        <w:rPr>
          <w:rFonts w:ascii="Arial" w:hAnsi="Arial"/>
          <w:b/>
          <w:color w:val="000000"/>
          <w:sz w:val="32"/>
        </w:rPr>
      </w:pPr>
      <w:r>
        <w:rPr>
          <w:rFonts w:ascii="Arial" w:hAnsi="Arial"/>
          <w:b/>
          <w:color w:val="000000"/>
          <w:sz w:val="32"/>
        </w:rPr>
        <w:t>FORM 8-K</w:t>
      </w:r>
    </w:p>
    <w:p>
      <w:pPr>
        <w:pStyle w:val="TextBody"/>
        <w:bidi w:val="0"/>
        <w:spacing w:before="0" w:after="40"/>
        <w:jc w:val="center"/>
        <w:rPr/>
      </w:pPr>
      <w:r>
        <w:rPr/>
        <w:t> </w:t>
      </w:r>
    </w:p>
    <w:p>
      <w:pPr>
        <w:pStyle w:val="TextBody"/>
        <w:bidi w:val="0"/>
        <w:jc w:val="center"/>
        <w:rPr>
          <w:rFonts w:ascii="Arial" w:hAnsi="Arial"/>
          <w:b/>
          <w:color w:val="000000"/>
          <w:sz w:val="24"/>
        </w:rPr>
      </w:pPr>
      <w:r>
        <w:rPr>
          <w:rFonts w:ascii="Arial" w:hAnsi="Arial"/>
          <w:b/>
          <w:color w:val="000000"/>
          <w:sz w:val="24"/>
        </w:rPr>
        <w:t>CURRENT REPORT</w:t>
      </w:r>
    </w:p>
    <w:p>
      <w:pPr>
        <w:pStyle w:val="TextBody"/>
        <w:bidi w:val="0"/>
        <w:jc w:val="center"/>
        <w:rPr>
          <w:rFonts w:ascii="Arial" w:hAnsi="Arial"/>
          <w:b/>
          <w:color w:val="000000"/>
          <w:sz w:val="24"/>
        </w:rPr>
      </w:pPr>
      <w:r>
        <w:rPr>
          <w:rFonts w:ascii="Arial" w:hAnsi="Arial"/>
          <w:b/>
          <w:color w:val="000000"/>
          <w:sz w:val="24"/>
        </w:rPr>
        <w:t>Pursuant to Section 13 or 15(d) of</w:t>
      </w:r>
    </w:p>
    <w:p>
      <w:pPr>
        <w:pStyle w:val="TextBody"/>
        <w:bidi w:val="0"/>
        <w:jc w:val="center"/>
        <w:rPr>
          <w:rFonts w:ascii="Arial" w:hAnsi="Arial"/>
          <w:b/>
          <w:color w:val="000000"/>
          <w:sz w:val="24"/>
        </w:rPr>
      </w:pPr>
      <w:r>
        <w:rPr>
          <w:rFonts w:ascii="Arial" w:hAnsi="Arial"/>
          <w:b/>
          <w:color w:val="000000"/>
          <w:sz w:val="24"/>
        </w:rPr>
        <w:t>The Securities Exchange Act of 1934</w:t>
      </w:r>
    </w:p>
    <w:p>
      <w:pPr>
        <w:pStyle w:val="TextBody"/>
        <w:bidi w:val="0"/>
        <w:jc w:val="center"/>
        <w:rPr/>
      </w:pPr>
      <w:r>
        <w:rPr/>
        <w:t> </w:t>
      </w:r>
    </w:p>
    <w:p>
      <w:pPr>
        <w:pStyle w:val="TextBody"/>
        <w:bidi w:val="0"/>
        <w:spacing w:before="40" w:after="40"/>
        <w:jc w:val="center"/>
        <w:rPr>
          <w:rFonts w:ascii="Arial" w:hAnsi="Arial"/>
          <w:color w:val="000000"/>
          <w:sz w:val="20"/>
        </w:rPr>
      </w:pPr>
      <w:r>
        <w:rPr>
          <w:rFonts w:ascii="Arial" w:hAnsi="Arial"/>
          <w:color w:val="000000"/>
          <w:sz w:val="20"/>
        </w:rPr>
        <w:t>Date of Report (Date of earliest event reported)</w:t>
      </w:r>
    </w:p>
    <w:p>
      <w:pPr>
        <w:pStyle w:val="TextBody"/>
        <w:bidi w:val="0"/>
        <w:spacing w:before="0" w:after="40"/>
        <w:jc w:val="center"/>
        <w:rPr>
          <w:rFonts w:ascii="Arial" w:hAnsi="Arial"/>
          <w:b/>
          <w:color w:val="1A1A1A"/>
          <w:sz w:val="20"/>
        </w:rPr>
      </w:pPr>
      <w:r>
        <w:rPr>
          <w:rFonts w:ascii="Arial" w:hAnsi="Arial"/>
          <w:b/>
          <w:color w:val="1A1A1A"/>
          <w:sz w:val="20"/>
        </w:rPr>
        <w:t>May 4, 2026</w:t>
      </w:r>
    </w:p>
    <w:p>
      <w:pPr>
        <w:pStyle w:val="TextBody"/>
        <w:bidi w:val="0"/>
        <w:spacing w:before="0" w:after="40"/>
        <w:jc w:val="center"/>
        <w:rPr/>
      </w:pPr>
      <w:r>
        <w:rPr/>
        <w:t> </w:t>
      </w:r>
    </w:p>
    <w:p>
      <w:pPr>
        <w:pStyle w:val="TextBody"/>
        <w:bidi w:val="0"/>
        <w:spacing w:before="0" w:after="40"/>
        <w:jc w:val="center"/>
        <w:rPr>
          <w:rFonts w:ascii="Arial" w:hAnsi="Arial"/>
          <w:b/>
          <w:color w:val="000000"/>
          <w:sz w:val="32"/>
        </w:rPr>
      </w:pPr>
      <w:r>
        <w:rPr>
          <w:rFonts w:ascii="Arial" w:hAnsi="Arial"/>
          <w:b/>
          <w:color w:val="000000"/>
          <w:sz w:val="32"/>
        </w:rPr>
        <w:t>NUTANIX, INC.</w:t>
      </w:r>
    </w:p>
    <w:p>
      <w:pPr>
        <w:pStyle w:val="TextBody"/>
        <w:bidi w:val="0"/>
        <w:spacing w:before="0" w:after="40"/>
        <w:jc w:val="center"/>
        <w:rPr>
          <w:rFonts w:ascii="Arial" w:hAnsi="Arial"/>
          <w:color w:val="000000"/>
          <w:sz w:val="20"/>
        </w:rPr>
      </w:pPr>
      <w:r>
        <w:rPr>
          <w:rFonts w:ascii="Arial" w:hAnsi="Arial"/>
          <w:color w:val="000000"/>
          <w:sz w:val="20"/>
        </w:rPr>
        <w:t>(Exact name of registrant as specified in its charter)</w:t>
      </w:r>
    </w:p>
    <w:tbl>
      <w:tblPr>
        <w:tblW w:w="6678" w:type="dxa"/>
        <w:jc w:val="left"/>
        <w:tblInd w:w="0" w:type="dxa"/>
        <w:tblLayout w:type="fixed"/>
        <w:tblCellMar>
          <w:top w:w="28" w:type="dxa"/>
          <w:left w:w="28" w:type="dxa"/>
          <w:bottom w:w="28" w:type="dxa"/>
          <w:right w:w="28" w:type="dxa"/>
        </w:tblCellMar>
      </w:tblPr>
      <w:tblGrid>
        <w:gridCol w:w="2581"/>
        <w:gridCol w:w="2416"/>
        <w:gridCol w:w="1681"/>
      </w:tblGrid>
      <w:tr>
        <w:trPr/>
        <w:tc>
          <w:tcPr>
            <w:tcW w:w="258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Delaware</w:t>
            </w:r>
          </w:p>
        </w:tc>
        <w:tc>
          <w:tcPr>
            <w:tcW w:w="241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001-37883</w:t>
            </w:r>
          </w:p>
        </w:tc>
        <w:tc>
          <w:tcPr>
            <w:tcW w:w="168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27-0989767</w:t>
            </w:r>
          </w:p>
        </w:tc>
      </w:tr>
      <w:tr>
        <w:trPr/>
        <w:tc>
          <w:tcPr>
            <w:tcW w:w="258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(State or other jurisdiction of</w:t>
              <w:br/>
              <w:t>incorporation)</w:t>
            </w:r>
          </w:p>
        </w:tc>
        <w:tc>
          <w:tcPr>
            <w:tcW w:w="24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(Commission File Number)</w:t>
            </w:r>
          </w:p>
        </w:tc>
        <w:tc>
          <w:tcPr>
            <w:tcW w:w="168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(IRS Employer</w:t>
              <w:br/>
              <w:t>Identification No.)</w:t>
            </w:r>
          </w:p>
        </w:tc>
      </w:tr>
    </w:tbl>
    <w:p>
      <w:pPr>
        <w:pStyle w:val="TextBody"/>
        <w:bidi w:val="0"/>
        <w:spacing w:before="4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1740 Technology Drive, Suite 150</w:t>
      </w:r>
    </w:p>
    <w:p>
      <w:pPr>
        <w:pStyle w:val="TextBody"/>
        <w:bidi w:val="0"/>
        <w:spacing w:before="0" w:after="40"/>
        <w:jc w:val="center"/>
        <w:rPr>
          <w:rFonts w:ascii="Times New Roman" w:hAnsi="Times New Roman"/>
          <w:sz w:val="20"/>
        </w:rPr>
      </w:pPr>
      <w:r>
        <w:rPr>
          <w:rFonts w:ascii="Arial" w:hAnsi="Arial"/>
          <w:b/>
          <w:color w:val="000000"/>
          <w:sz w:val="20"/>
        </w:rPr>
        <w:t>San Jose, California</w:t>
      </w:r>
      <w:r>
        <w:rPr>
          <w:rFonts w:ascii="Times New Roman" w:hAnsi="Times New Roman"/>
          <w:color w:val="000000"/>
          <w:sz w:val="20"/>
        </w:rPr>
        <w:t xml:space="preserve"> </w:t>
      </w:r>
      <w:r>
        <w:rPr>
          <w:rFonts w:ascii="Arial" w:hAnsi="Arial"/>
          <w:b/>
          <w:color w:val="000000"/>
          <w:sz w:val="20"/>
        </w:rPr>
        <w:t xml:space="preserve">95110 </w:t>
      </w:r>
    </w:p>
    <w:p>
      <w:pPr>
        <w:pStyle w:val="TextBody"/>
        <w:bidi w:val="0"/>
        <w:spacing w:before="0" w:after="40"/>
        <w:jc w:val="center"/>
        <w:rPr>
          <w:rFonts w:ascii="Arial" w:hAnsi="Arial"/>
          <w:color w:val="000000"/>
          <w:sz w:val="20"/>
        </w:rPr>
      </w:pPr>
      <w:r>
        <w:rPr>
          <w:rFonts w:ascii="Arial" w:hAnsi="Arial"/>
          <w:color w:val="000000"/>
          <w:sz w:val="20"/>
        </w:rPr>
        <w:t>(Address of principal executive offices, including zip code)</w:t>
      </w:r>
    </w:p>
    <w:p>
      <w:pPr>
        <w:pStyle w:val="TextBody"/>
        <w:bidi w:val="0"/>
        <w:spacing w:before="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 xml:space="preserve">(408) 216-8360 </w:t>
      </w:r>
    </w:p>
    <w:p>
      <w:pPr>
        <w:pStyle w:val="TextBody"/>
        <w:bidi w:val="0"/>
        <w:spacing w:before="0" w:after="40"/>
        <w:jc w:val="center"/>
        <w:rPr>
          <w:rFonts w:ascii="Arial" w:hAnsi="Arial"/>
          <w:color w:val="000000"/>
          <w:sz w:val="20"/>
        </w:rPr>
      </w:pPr>
      <w:r>
        <w:rPr>
          <w:rFonts w:ascii="Arial" w:hAnsi="Arial"/>
          <w:color w:val="000000"/>
          <w:sz w:val="20"/>
        </w:rPr>
        <w:t>(Registrant’s telephone number, including area code)</w:t>
      </w:r>
    </w:p>
    <w:p>
      <w:pPr>
        <w:pStyle w:val="TextBody"/>
        <w:bidi w:val="0"/>
        <w:spacing w:before="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Not Applicable</w:t>
      </w:r>
    </w:p>
    <w:p>
      <w:pPr>
        <w:pStyle w:val="TextBody"/>
        <w:bidi w:val="0"/>
        <w:spacing w:before="0" w:after="40"/>
        <w:jc w:val="center"/>
        <w:rPr>
          <w:rFonts w:ascii="Arial" w:hAnsi="Arial"/>
          <w:color w:val="000000"/>
          <w:sz w:val="20"/>
        </w:rPr>
      </w:pPr>
      <w:r>
        <w:rPr>
          <w:rFonts w:ascii="Arial" w:hAnsi="Arial"/>
          <w:color w:val="000000"/>
          <w:sz w:val="20"/>
        </w:rPr>
        <w:t>(Former name or former address, if changed since last report)</w:t>
      </w:r>
    </w:p>
    <w:p>
      <w:pPr>
        <w:pStyle w:val="TextBody"/>
        <w:bidi w:val="0"/>
        <w:spacing w:before="0" w:after="40"/>
        <w:jc w:val="center"/>
        <w:rPr/>
      </w:pPr>
      <w:r>
        <w:rPr/>
        <w:t> </w:t>
      </w:r>
    </w:p>
    <w:p>
      <w:pPr>
        <w:pStyle w:val="TextBody"/>
        <w:bidi w:val="0"/>
        <w:spacing w:before="0" w:after="160"/>
        <w:jc w:val="left"/>
        <w:rPr>
          <w:rFonts w:ascii="Arial" w:hAnsi="Arial"/>
          <w:color w:val="000000"/>
          <w:sz w:val="18"/>
        </w:rPr>
      </w:pPr>
      <w:r>
        <w:rPr>
          <w:rFonts w:ascii="Arial" w:hAnsi="Arial"/>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40"/>
        <w:jc w:val="left"/>
        <w:rPr/>
      </w:pPr>
      <w:r>
        <w:rPr>
          <w:color w:val="000000"/>
        </w:rPr>
        <w:t xml:space="preserve">☐ </w:t>
      </w:r>
      <w:r>
        <w:rPr>
          <w:rFonts w:ascii="Arial" w:hAnsi="Arial"/>
          <w:color w:val="000000"/>
          <w:sz w:val="18"/>
        </w:rPr>
        <w:t>Written communications pursuant to Rule 425 under the Securities Act (17 CFR 230.425)</w:t>
      </w:r>
      <w:r>
        <w:rPr>
          <w:rFonts w:ascii="Times New Roman" w:hAnsi="Times New Roman"/>
          <w:color w:val="000000"/>
          <w:sz w:val="20"/>
        </w:rPr>
        <w:t xml:space="preserve"> </w:t>
      </w:r>
    </w:p>
    <w:p>
      <w:pPr>
        <w:pStyle w:val="TextBody"/>
        <w:bidi w:val="0"/>
        <w:spacing w:before="0" w:after="40"/>
        <w:jc w:val="left"/>
        <w:rPr/>
      </w:pPr>
      <w:r>
        <w:rPr>
          <w:color w:val="000000"/>
        </w:rPr>
        <w:t xml:space="preserve">☐ </w:t>
      </w:r>
      <w:r>
        <w:rPr>
          <w:rFonts w:ascii="Arial" w:hAnsi="Arial"/>
          <w:color w:val="000000"/>
          <w:sz w:val="18"/>
        </w:rPr>
        <w:t>Soliciting material pursuant to Rule 14a-12 under the Exchange Act (17 CFR 240.14a-12)</w:t>
      </w:r>
      <w:r>
        <w:rPr>
          <w:rFonts w:ascii="Times New Roman" w:hAnsi="Times New Roman"/>
          <w:color w:val="000000"/>
          <w:sz w:val="20"/>
        </w:rPr>
        <w:t xml:space="preserve"> </w:t>
      </w:r>
    </w:p>
    <w:p>
      <w:pPr>
        <w:pStyle w:val="TextBody"/>
        <w:bidi w:val="0"/>
        <w:spacing w:before="0" w:after="40"/>
        <w:jc w:val="left"/>
        <w:rPr/>
      </w:pPr>
      <w:r>
        <w:rPr>
          <w:color w:val="000000"/>
        </w:rPr>
        <w:t xml:space="preserve">☐ </w:t>
      </w:r>
      <w:r>
        <w:rPr>
          <w:rFonts w:ascii="Arial" w:hAnsi="Arial"/>
          <w:color w:val="000000"/>
          <w:sz w:val="18"/>
        </w:rPr>
        <w:t>Pre-commencement communications pursuant to Rule 14d-2(b) under the Exchange Act (17 CFR 240.14d-2(b))</w:t>
      </w:r>
      <w:r>
        <w:rPr>
          <w:rFonts w:ascii="Times New Roman" w:hAnsi="Times New Roman"/>
          <w:color w:val="000000"/>
          <w:sz w:val="20"/>
        </w:rPr>
        <w:t xml:space="preserve"> </w:t>
      </w:r>
    </w:p>
    <w:p>
      <w:pPr>
        <w:pStyle w:val="TextBody"/>
        <w:bidi w:val="0"/>
        <w:spacing w:before="0" w:after="160"/>
        <w:jc w:val="left"/>
        <w:rPr/>
      </w:pPr>
      <w:r>
        <w:rPr>
          <w:color w:val="000000"/>
        </w:rPr>
        <w:t xml:space="preserve">☐ </w:t>
      </w:r>
      <w:r>
        <w:rPr>
          <w:rFonts w:ascii="Arial" w:hAnsi="Arial"/>
          <w:color w:val="000000"/>
          <w:sz w:val="18"/>
        </w:rPr>
        <w:t>Pre-commencement communications pursuant to Rule 13e-4(c) under the Exchange Act (17 CFR 240.13e-4(c))</w:t>
      </w:r>
      <w:r>
        <w:rPr>
          <w:rFonts w:ascii="Times New Roman" w:hAnsi="Times New Roman"/>
          <w:color w:val="000000"/>
          <w:sz w:val="20"/>
        </w:rPr>
        <w:t xml:space="preserve"> </w:t>
      </w:r>
    </w:p>
    <w:p>
      <w:pPr>
        <w:pStyle w:val="TextBody"/>
        <w:bidi w:val="0"/>
        <w:spacing w:before="0" w:after="40"/>
        <w:jc w:val="center"/>
        <w:rPr>
          <w:rFonts w:ascii="Times New Roman" w:hAnsi="Times New Roman"/>
          <w:sz w:val="20"/>
        </w:rPr>
      </w:pPr>
      <w:r>
        <w:rPr>
          <w:rFonts w:ascii="Arial" w:hAnsi="Arial"/>
          <w:b/>
          <w:color w:val="000000"/>
          <w:sz w:val="18"/>
        </w:rPr>
        <w:t>Securities registered pursuant to Section 12(b) of the Act: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504"/>
        <w:gridCol w:w="146"/>
        <w:gridCol w:w="1608"/>
        <w:gridCol w:w="146"/>
        <w:gridCol w:w="3801"/>
      </w:tblGrid>
      <w:tr>
        <w:trPr/>
        <w:tc>
          <w:tcPr>
            <w:tcW w:w="4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4504"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608"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Trading symbol(s)</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0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Name of each exchange on which registered</w:t>
            </w:r>
          </w:p>
        </w:tc>
      </w:tr>
      <w:tr>
        <w:trPr/>
        <w:tc>
          <w:tcPr>
            <w:tcW w:w="4504"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 xml:space="preserve">Class A Common Stock, $0.000025 par value per share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608"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sz w:val="20"/>
              </w:rPr>
            </w:pPr>
            <w:r>
              <w:rPr>
                <w:rFonts w:ascii="Arial" w:hAnsi="Arial"/>
                <w:color w:val="000000"/>
                <w:sz w:val="18"/>
              </w:rPr>
              <w:t>NTNX</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0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The Nasdaq Global Select Market</w:t>
            </w:r>
          </w:p>
        </w:tc>
      </w:tr>
    </w:tbl>
    <w:p>
      <w:pPr>
        <w:pStyle w:val="TextBody"/>
        <w:bidi w:val="0"/>
        <w:spacing w:before="240" w:after="40"/>
        <w:jc w:val="left"/>
        <w:rPr>
          <w:rFonts w:ascii="Arial" w:hAnsi="Arial"/>
          <w:color w:val="000000"/>
          <w:sz w:val="18"/>
        </w:rPr>
      </w:pPr>
      <w:r>
        <w:rPr>
          <w:rFonts w:ascii="Arial" w:hAnsi="Arial"/>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40"/>
        <w:jc w:val="left"/>
        <w:rPr>
          <w:rFonts w:ascii="Times New Roman" w:hAnsi="Times New Roman"/>
          <w:sz w:val="20"/>
        </w:rPr>
      </w:pPr>
      <w:r>
        <w:rPr>
          <w:rFonts w:ascii="Arial" w:hAnsi="Arial"/>
          <w:color w:val="000000"/>
          <w:sz w:val="18"/>
        </w:rPr>
        <w:t xml:space="preserve">Emerging growth company </w:t>
      </w:r>
      <w:r>
        <w:rPr>
          <w:rFonts w:ascii="Times New Roman" w:hAnsi="Times New Roman"/>
          <w:color w:val="000000"/>
          <w:sz w:val="20"/>
        </w:rPr>
        <w:t>☐</w:t>
      </w:r>
    </w:p>
    <w:p>
      <w:pPr>
        <w:pStyle w:val="TextBody"/>
        <w:bidi w:val="0"/>
        <w:spacing w:before="0" w:after="40"/>
        <w:jc w:val="left"/>
        <w:rPr/>
      </w:pPr>
      <w:r>
        <w:rPr/>
        <w:t> </w:t>
      </w:r>
    </w:p>
    <w:p>
      <w:pPr>
        <w:pStyle w:val="TextBody"/>
        <w:bidi w:val="0"/>
        <w:spacing w:before="0" w:after="4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0" w:after="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Item 3.02. Unregistered Sales of Equity Securities.</w:t>
      </w:r>
    </w:p>
    <w:p>
      <w:pPr>
        <w:pStyle w:val="TextBody"/>
        <w:bidi w:val="0"/>
        <w:spacing w:before="240" w:after="283"/>
        <w:jc w:val="both"/>
        <w:rPr>
          <w:rFonts w:ascii="Times New Roman" w:hAnsi="Times New Roman"/>
          <w:sz w:val="20"/>
        </w:rPr>
      </w:pPr>
      <w:r>
        <w:rPr>
          <w:rFonts w:ascii="Arial" w:hAnsi="Arial"/>
          <w:color w:val="000000"/>
          <w:sz w:val="20"/>
        </w:rPr>
        <w:t>On May 4, 2026, Nutanix, Inc. (the “</w:t>
      </w:r>
      <w:r>
        <w:rPr>
          <w:rFonts w:ascii="Arial" w:hAnsi="Arial"/>
          <w:b/>
          <w:color w:val="000000"/>
          <w:sz w:val="20"/>
        </w:rPr>
        <w:t>Company</w:t>
      </w:r>
      <w:r>
        <w:rPr>
          <w:rFonts w:ascii="Times New Roman" w:hAnsi="Times New Roman"/>
          <w:color w:val="000000"/>
          <w:sz w:val="20"/>
        </w:rPr>
        <w:t>”</w:t>
      </w:r>
      <w:r>
        <w:rPr>
          <w:rFonts w:ascii="Arial" w:hAnsi="Arial"/>
          <w:color w:val="000000"/>
          <w:sz w:val="20"/>
        </w:rPr>
        <w:t>) completed the issuance and sale of 4,136,789 shares of Class A common stock of the Company, $0.000025 par value per share (the “</w:t>
      </w:r>
      <w:r>
        <w:rPr>
          <w:rFonts w:ascii="Arial" w:hAnsi="Arial"/>
          <w:b/>
          <w:color w:val="000000"/>
          <w:sz w:val="20"/>
        </w:rPr>
        <w:t>Shares</w:t>
      </w:r>
      <w:r>
        <w:rPr>
          <w:rFonts w:ascii="Times New Roman" w:hAnsi="Times New Roman"/>
          <w:color w:val="000000"/>
          <w:sz w:val="20"/>
        </w:rPr>
        <w:t>”</w:t>
      </w:r>
      <w:r>
        <w:rPr>
          <w:rFonts w:ascii="Arial" w:hAnsi="Arial"/>
          <w:color w:val="000000"/>
          <w:sz w:val="20"/>
        </w:rPr>
        <w:t>), to Advanced Micro Devices, Inc. (“</w:t>
      </w:r>
      <w:r>
        <w:rPr>
          <w:rFonts w:ascii="Arial" w:hAnsi="Arial"/>
          <w:b/>
          <w:color w:val="000000"/>
          <w:sz w:val="20"/>
        </w:rPr>
        <w:t>AMD</w:t>
      </w:r>
      <w:r>
        <w:rPr>
          <w:rFonts w:ascii="Times New Roman" w:hAnsi="Times New Roman"/>
          <w:color w:val="000000"/>
          <w:sz w:val="20"/>
        </w:rPr>
        <w:t>”</w:t>
      </w:r>
      <w:r>
        <w:rPr>
          <w:rFonts w:ascii="Arial" w:hAnsi="Arial"/>
          <w:color w:val="000000"/>
          <w:sz w:val="20"/>
        </w:rPr>
        <w:t>) at a purchase price of $36.26 per share, representing an aggregate purchase price in cash of approximately $150 million. The issuance and sale of the Shares were undertaken pursuant to a Stock Purchase Agreement dated February 23, 2026 between the Company and AMD, as previously disclosed by the Company in a Current Report on Form 8-K filed with the U.S. Securities and Exchange Commission on February 25, 2026, in a private placement exempt from registration under Section 4(a)(2) of the Securities Act of 1933,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rial" w:hAnsi="Arial"/>
          <w:b/>
          <w:color w:val="000000"/>
          <w:sz w:val="20"/>
        </w:rPr>
      </w:pPr>
      <w:bookmarkStart w:id="2" w:name="section3"/>
      <w:bookmarkEnd w:id="2"/>
      <w:r>
        <w:rPr>
          <w:rFonts w:ascii="Arial" w:hAnsi="Arial"/>
          <w:b/>
          <w:color w:val="000000"/>
          <w:sz w:val="20"/>
        </w:rPr>
        <w:t>SIGNATURES</w:t>
      </w:r>
    </w:p>
    <w:p>
      <w:pPr>
        <w:pStyle w:val="TextBody"/>
        <w:bidi w:val="0"/>
        <w:spacing w:before="0" w:after="160"/>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4263" w:type="dxa"/>
        <w:jc w:val="left"/>
        <w:tblInd w:w="0" w:type="dxa"/>
        <w:tblLayout w:type="fixed"/>
        <w:tblCellMar>
          <w:top w:w="28" w:type="dxa"/>
          <w:left w:w="28" w:type="dxa"/>
          <w:bottom w:w="28" w:type="dxa"/>
          <w:right w:w="28" w:type="dxa"/>
        </w:tblCellMar>
      </w:tblPr>
      <w:tblGrid>
        <w:gridCol w:w="1726"/>
        <w:gridCol w:w="406"/>
        <w:gridCol w:w="2131"/>
      </w:tblGrid>
      <w:tr>
        <w:trPr/>
        <w:tc>
          <w:tcPr>
            <w:tcW w:w="17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53" w:after="30"/>
              <w:jc w:val="left"/>
              <w:rPr>
                <w:rFonts w:ascii="Arial" w:hAnsi="Arial"/>
                <w:b/>
                <w:color w:val="000000"/>
                <w:sz w:val="20"/>
              </w:rPr>
            </w:pPr>
            <w:r>
              <w:rPr>
                <w:rFonts w:ascii="Arial" w:hAnsi="Arial"/>
                <w:b/>
                <w:color w:val="000000"/>
                <w:sz w:val="20"/>
              </w:rPr>
              <w:t>NUTANIX, INC.</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Date: May 4, 2026</w:t>
            </w:r>
          </w:p>
        </w:tc>
        <w:tc>
          <w:tcPr>
            <w:tcW w:w="406"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By:</w:t>
            </w:r>
          </w:p>
        </w:tc>
        <w:tc>
          <w:tcPr>
            <w:tcW w:w="2131" w:type="dxa"/>
            <w:tcBorders/>
            <w:tcMar>
              <w:top w:w="0" w:type="dxa"/>
              <w:left w:w="0" w:type="dxa"/>
              <w:bottom w:w="0" w:type="dxa"/>
              <w:right w:w="0" w:type="dxa"/>
            </w:tcMar>
            <w:vAlign w:val="center"/>
          </w:tcPr>
          <w:p>
            <w:pPr>
              <w:pStyle w:val="TableContents"/>
              <w:bidi w:val="0"/>
              <w:spacing w:before="53" w:after="30"/>
              <w:jc w:val="left"/>
              <w:rPr>
                <w:rFonts w:ascii="Arial" w:hAnsi="Arial"/>
                <w:i/>
                <w:color w:val="000000"/>
                <w:sz w:val="20"/>
                <w:u w:val="single"/>
              </w:rPr>
            </w:pPr>
            <w:r>
              <w:rPr>
                <w:rFonts w:ascii="Arial" w:hAnsi="Arial"/>
                <w:i/>
                <w:color w:val="000000"/>
                <w:sz w:val="20"/>
                <w:u w:val="single"/>
              </w:rPr>
              <w:t>/s/ Rukmini Sivaraman</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Rukmini Sivaraman</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30"/>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488</Words>
  <Characters>2651</Characters>
  <CharactersWithSpaces>3128</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