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Groen Max Pieter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20"/>
        <w:spacing w:after="0" w:line="365" w:lineRule="auto"/>
        <w:rPr>
          <w:sz w:val="20"/>
          <w:szCs w:val="20"/>
          <w:color w:val="auto"/>
        </w:rPr>
      </w:pPr>
      <w:r>
        <w:rPr>
          <w:rFonts w:ascii="Times New Roman" w:cs="Times New Roman" w:eastAsia="Times New Roman" w:hAnsi="Times New Roman"/>
          <w:sz w:val="17"/>
          <w:szCs w:val="17"/>
          <w:color w:val="0000FF"/>
        </w:rPr>
        <w:t>C/O BAIN CAPITAL INVESTORS, LLC 200 CLARENDON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Nutanix,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NTNX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06/05/2025</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4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06/05/2025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Pr>
          <w:p>
            <w:pPr>
              <w:spacing w:after="0"/>
              <w:rPr>
                <w:sz w:val="21"/>
                <w:szCs w:val="21"/>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5,480,467</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76.81</w:t>
            </w:r>
          </w:p>
        </w:tc>
        <w:tc>
          <w:tcPr>
            <w:tcW w:w="15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5,480,468</w:t>
            </w:r>
          </w:p>
        </w:tc>
        <w:tc>
          <w:tcPr>
            <w:tcW w:w="52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top w:val="single" w:sz="8" w:color="2C2C2C"/>
            </w:tcBorders>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06/05/2025</w:t>
            </w: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jc w:val="center"/>
              <w:ind w:left="8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4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125,183</w:t>
            </w:r>
          </w:p>
        </w:tc>
        <w:tc>
          <w:tcPr>
            <w:tcW w:w="4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jc w:val="right"/>
              <w:ind w:right="197"/>
              <w:spacing w:after="0"/>
              <w:rPr>
                <w:sz w:val="20"/>
                <w:szCs w:val="20"/>
                <w:color w:val="auto"/>
              </w:rPr>
            </w:pPr>
            <w:r>
              <w:rPr>
                <w:rFonts w:ascii="Times New Roman" w:cs="Times New Roman" w:eastAsia="Times New Roman" w:hAnsi="Times New Roman"/>
                <w:sz w:val="11"/>
                <w:szCs w:val="11"/>
                <w:color w:val="008000"/>
              </w:rPr>
              <w:t>(3)</w:t>
            </w:r>
          </w:p>
        </w:tc>
        <w:tc>
          <w:tcPr>
            <w:tcW w:w="1500" w:type="dxa"/>
            <w:vAlign w:val="bottom"/>
            <w:tcBorders>
              <w:top w:val="single" w:sz="8" w:color="2C2C2C"/>
            </w:tcBorders>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5,355,285</w:t>
            </w:r>
          </w:p>
        </w:tc>
        <w:tc>
          <w:tcPr>
            <w:tcW w:w="520" w:type="dxa"/>
            <w:vAlign w:val="bottom"/>
            <w:tcBorders>
              <w:top w:val="single" w:sz="8" w:color="2C2C2C"/>
            </w:tcBorders>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gridSpan w:val="3"/>
          </w:tcPr>
          <w:p>
            <w:pPr>
              <w:jc w:val="center"/>
              <w:ind w:right="320"/>
              <w:spacing w:after="0"/>
              <w:rPr>
                <w:sz w:val="20"/>
                <w:szCs w:val="20"/>
                <w:color w:val="auto"/>
              </w:rPr>
            </w:pPr>
            <w:r>
              <w:rPr>
                <w:rFonts w:ascii="Times New Roman" w:cs="Times New Roman" w:eastAsia="Times New Roman" w:hAnsi="Times New Roman"/>
                <w:sz w:val="17"/>
                <w:szCs w:val="17"/>
                <w:color w:val="0000FF"/>
                <w:w w:val="93"/>
              </w:rPr>
              <w:t>40,746</w:t>
            </w:r>
            <w:r>
              <w:rPr>
                <w:rFonts w:ascii="Times New Roman" w:cs="Times New Roman" w:eastAsia="Times New Roman" w:hAnsi="Times New Roman"/>
                <w:sz w:val="22"/>
                <w:szCs w:val="22"/>
                <w:color w:val="008000"/>
                <w:w w:val="93"/>
                <w:vertAlign w:val="superscript"/>
              </w:rPr>
              <w:t>(4)</w:t>
            </w:r>
          </w:p>
        </w:tc>
        <w:tc>
          <w:tcPr>
            <w:tcW w:w="520" w:type="dxa"/>
            <w:vAlign w:val="bottom"/>
            <w:tcBorders>
              <w:top w:val="single" w:sz="8" w:color="2C2C2C"/>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held directly by BCPE Nucleon (DE) SPV, LP ("BCPE Nucleon").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Max de Groen is a Partner of Bain Capital Investors, LLC ("BCI"), the ultimate general partner of BCPE Nucleon. Voting and investment decisions with respect to securities held by BCPE Nucleon are made by the partners of BCI. As a result, Mr. de Groen may be deemed to share voting and dispositive power with respect to the securities held by BCPE Nucleon. Mr. de Groen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5, 2025 BCPE Nucleon distributed 125,183 shares of Common Stock to one or more members or partners of BCPE Nucleon in connection with certain charitable gifts to be made by such members or partners or their direct or indirect owners.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includes 3,646 unvested restricted stock units, which are issuable into shares of the Issuer's Class A common stock upon vesting.</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Max Pieter de Groen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06/09/2025</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12" TargetMode="External"/><Relationship Id="rId14" Type="http://schemas.openxmlformats.org/officeDocument/2006/relationships/hyperlink" Target="http://www.sec.gov/cgi-bin/browse-edgar?action=getcompany&amp;CIK=0001618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2025-06-09T16:29:14Z</dcterms:created>
  <dcterms:modified xsi:type="dcterms:W3CDTF">2025-06-09T16:29:14Z</dcterms:modified>
</cp:coreProperties>
</file>