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Martin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NUTANIX,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1740 TECHNOLOGY DR.,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Nutanix, Inc.</w:t>
              </w:r>
            </w:hyperlink>
            <w:r>
              <w:rPr/>
              <w:t xml:space="preserve"> [ </w:t>
            </w:r>
            <w:r>
              <w:rPr>
                <w:rFonts w:ascii="Times;serif" w:hAnsi="Times;serif"/>
                <w:color w:val="0000FF"/>
                <w:sz w:val="24"/>
                <w:shd w:fill="FFFFFF" w:val="clear"/>
              </w:rPr>
              <w:t>NTNX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15,124</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29,154</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7,365</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36,519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10, 2024, the Reporting Person was granted performance-based restricted stock units ("FY 2025 PRSUs"). The FY 2025 PRSUs are eligible to vest in up to three installments based on the total shareholder return of the Issuer over one-, two- and three-year performance periods, each commencing on August 1, 2024, relative to the total shareholder return of companies in the NASDAQ Composite Index. On August 24, 2026, the Compensation Committee of the Issuer's Board of Directors determined that the achievement percentage for the second performance period was 121.93% but, under the terms of the FY 2025 PRSUs, the achievement percentage is capped at 100%, resulting in these shares becoming eligible to vest on September 15, 2026, subject to the Reporting Person continuing to provide service to the Issuer through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November 10, 2025, the Reporting Person was granted performance-based restricted stock units ("FY 2026 PRSUs"). The FY 2026 PRSUs are eligible to vest in up to three installments based on the total shareholder return of the Issuer over one-, two- and three-year performance periods, each commencing on August 1, 2025, relative to the total shareholder return of companies in the NASDAQ Composite Index. On August 24, 2026, the Compensation Committee of the Issuer's Board of Directors determined that the achievement percentage for the first performance period was 72.61%, resulting in these shares becoming eligible to vest on September 15, 2026, subject to the Reporting Person continuing to provide service to the Issuer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Raymond Hum,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5281" TargetMode="External"/><Relationship Id="rId5" Type="http://schemas.openxmlformats.org/officeDocument/2006/relationships/hyperlink" Target="http://www.sec.gov/cgi-bin/browse-edgar?action=getcompany&amp;CIK=00016187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833</Words>
  <Characters>4478</Characters>
  <CharactersWithSpaces>5234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