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NUTANIX,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001-37883</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27-0989767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1740 Technology Drive, Suite 150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Jose, California 95110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216-8360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Class A Common Stock, $0.000025 par value per share</w:t>
            </w:r>
          </w:p>
        </w:tc>
        <w:tc>
          <w:tcPr>
            <w:tcW w:w="2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NTNX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27, 2026, Nutanix, Inc. (the “Company”) issued a press release announcing the Company’s financial results for its third fiscal quarter ended April 30, 2026. A copy of this press release is attached hereto as Exhibit 99.1.</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information provided pursuant to Item 2.02 of this Current Report on Form 8-K, including Exhibit 99.1 hereto, is being furnished and shall not be deemed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rules and regulations of the Securities and Exchange Commission (the “SEC”) thereunder, or the Exchange Act or the rules and regulations of the SEC thereunder, except as shall be expressly set forth by specific reference in such filing or document.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91"/>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issued by Nutanix, Inc. on May 27,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3020" w:type="dxa"/>
            <w:vAlign w:val="bottom"/>
            <w:shd w:val="clear" w:color="auto" w:fill="000000"/>
          </w:tcPr>
          <w:p>
            <w:pPr>
              <w:spacing w:after="0"/>
              <w:rPr>
                <w:sz w:val="5"/>
                <w:szCs w:val="5"/>
                <w:color w:val="auto"/>
              </w:rPr>
            </w:pPr>
          </w:p>
        </w:tc>
        <w:tc>
          <w:tcPr>
            <w:tcW w:w="58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3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NUTANIX,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4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Rukmini Sivaraman</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Rukmini Sivaraman</w:t>
            </w: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Nutanix Reports Third Quarter Fiscal 2026 Financial Results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Reports 15% YoY ARR Growth and Solid Free Cash Flow Performance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Delivers Outperformance Across All Guided Metrics</w:t>
      </w:r>
    </w:p>
    <w:p>
      <w:pPr>
        <w:spacing w:after="0" w:line="21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 xml:space="preserve">SAN JOSE, Calif., May 27, 2026 (GLOBE NEWSWIRE) -- Nutanix, Inc. (NASDAQ: </w:t>
      </w:r>
      <w:r>
        <w:rPr>
          <w:rFonts w:ascii="Times New Roman" w:cs="Times New Roman" w:eastAsia="Times New Roman" w:hAnsi="Times New Roman"/>
          <w:sz w:val="22"/>
          <w:szCs w:val="22"/>
          <w:u w:val="single" w:color="auto"/>
          <w:color w:val="auto"/>
        </w:rPr>
        <w:t>NTNX</w:t>
      </w:r>
      <w:r>
        <w:rPr>
          <w:rFonts w:ascii="Times New Roman" w:cs="Times New Roman" w:eastAsia="Times New Roman" w:hAnsi="Times New Roman"/>
          <w:sz w:val="22"/>
          <w:szCs w:val="22"/>
          <w:color w:val="auto"/>
        </w:rPr>
        <w:t>), a leader in hybrid multicloud computing, today announced financial results for its third quarter ended April 30, 2026.</w:t>
      </w:r>
    </w:p>
    <w:p>
      <w:pPr>
        <w:spacing w:after="0" w:line="15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“We saw solid demand in the third quarter, including strong bookings, healthy new logo additions, and good free cash flow performance,” said Rajiv Ramaswami, CEO of Nutanix. “We also announced significant new innovations and partnerships in the areas of AI, modern applications and support for external storage, which will help us pursue the substantial market opportunity in front of us.”</w:t>
      </w:r>
    </w:p>
    <w:p>
      <w:pPr>
        <w:spacing w:after="0" w:line="18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“Our business performed well in our third quarter, as reflected in results that exceeded the high end of the range for all of our guided metrics,” said Rukmini Sivaraman, CFO of Nutanix. “We are pleased to raise our full year guidance and remain focused on driving sustainable growth and improving profitability.”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Third Quarter Fiscal 2026 Financial Summary</w:t>
            </w:r>
          </w:p>
        </w:tc>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60"/>
        </w:trPr>
        <w:tc>
          <w:tcPr>
            <w:tcW w:w="5080" w:type="dxa"/>
            <w:vAlign w:val="bottom"/>
          </w:tcPr>
          <w:p>
            <w:pPr>
              <w:spacing w:after="0"/>
              <w:rPr>
                <w:sz w:val="24"/>
                <w:szCs w:val="24"/>
                <w:color w:val="auto"/>
              </w:rPr>
            </w:pPr>
          </w:p>
        </w:tc>
        <w:tc>
          <w:tcPr>
            <w:tcW w:w="234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Q3 FY’26</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Q3 FY’25</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8"/>
              </w:rPr>
              <w:t>Y/Y Change</w:t>
            </w:r>
          </w:p>
        </w:tc>
      </w:tr>
      <w:tr>
        <w:trPr>
          <w:trHeight w:val="324"/>
        </w:trPr>
        <w:tc>
          <w:tcPr>
            <w:tcW w:w="5080" w:type="dxa"/>
            <w:vAlign w:val="bottom"/>
          </w:tcPr>
          <w:p>
            <w:pPr>
              <w:ind w:left="20"/>
              <w:spacing w:after="0" w:line="324" w:lineRule="exact"/>
              <w:rPr>
                <w:sz w:val="20"/>
                <w:szCs w:val="20"/>
                <w:color w:val="auto"/>
              </w:rPr>
            </w:pPr>
            <w:r>
              <w:rPr>
                <w:rFonts w:ascii="Times New Roman" w:cs="Times New Roman" w:eastAsia="Times New Roman" w:hAnsi="Times New Roman"/>
                <w:sz w:val="22"/>
                <w:szCs w:val="22"/>
                <w:color w:val="auto"/>
              </w:rPr>
              <w:t>Annual Recurring Revenue (ARR)</w:t>
            </w:r>
            <w:r>
              <w:rPr>
                <w:rFonts w:ascii="Times New Roman" w:cs="Times New Roman" w:eastAsia="Times New Roman" w:hAnsi="Times New Roman"/>
                <w:sz w:val="35"/>
                <w:szCs w:val="35"/>
                <w:color w:val="auto"/>
                <w:vertAlign w:val="superscript"/>
              </w:rPr>
              <w:t>1</w:t>
            </w:r>
          </w:p>
        </w:tc>
        <w:tc>
          <w:tcPr>
            <w:tcW w:w="234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7"/>
              </w:rPr>
              <w:t>$2.43 billion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$2.12 billion</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22"/>
                <w:szCs w:val="22"/>
                <w:color w:val="auto"/>
                <w:w w:val="99"/>
              </w:rPr>
              <w:t>15%</w:t>
            </w:r>
          </w:p>
        </w:tc>
      </w:tr>
      <w:tr>
        <w:trPr>
          <w:trHeight w:val="324"/>
        </w:trPr>
        <w:tc>
          <w:tcPr>
            <w:tcW w:w="5080" w:type="dxa"/>
            <w:vAlign w:val="bottom"/>
          </w:tcPr>
          <w:p>
            <w:pPr>
              <w:ind w:left="20"/>
              <w:spacing w:after="0" w:line="324" w:lineRule="exact"/>
              <w:rPr>
                <w:sz w:val="20"/>
                <w:szCs w:val="20"/>
                <w:color w:val="auto"/>
              </w:rPr>
            </w:pPr>
            <w:r>
              <w:rPr>
                <w:rFonts w:ascii="Times New Roman" w:cs="Times New Roman" w:eastAsia="Times New Roman" w:hAnsi="Times New Roman"/>
                <w:sz w:val="22"/>
                <w:szCs w:val="22"/>
                <w:color w:val="auto"/>
              </w:rPr>
              <w:t>Average Contract Duration</w:t>
            </w:r>
            <w:r>
              <w:rPr>
                <w:rFonts w:ascii="Times New Roman" w:cs="Times New Roman" w:eastAsia="Times New Roman" w:hAnsi="Times New Roman"/>
                <w:sz w:val="35"/>
                <w:szCs w:val="35"/>
                <w:i w:val="1"/>
                <w:iCs w:val="1"/>
                <w:color w:val="auto"/>
                <w:vertAlign w:val="superscript"/>
              </w:rPr>
              <w:t>2</w:t>
            </w:r>
          </w:p>
        </w:tc>
        <w:tc>
          <w:tcPr>
            <w:tcW w:w="2340" w:type="dxa"/>
            <w:vAlign w:val="bottom"/>
          </w:tcPr>
          <w:p>
            <w:pPr>
              <w:jc w:val="center"/>
              <w:ind w:left="332"/>
              <w:spacing w:after="0"/>
              <w:rPr>
                <w:sz w:val="20"/>
                <w:szCs w:val="20"/>
                <w:color w:val="auto"/>
              </w:rPr>
            </w:pPr>
            <w:r>
              <w:rPr>
                <w:rFonts w:ascii="Times New Roman" w:cs="Times New Roman" w:eastAsia="Times New Roman" w:hAnsi="Times New Roman"/>
                <w:sz w:val="22"/>
                <w:szCs w:val="22"/>
                <w:color w:val="auto"/>
                <w:w w:val="98"/>
              </w:rPr>
              <w:t>3.4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3.1 years</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8"/>
              </w:rPr>
              <w:t>0.3 years</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Revenue</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$703.1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$639.0 million</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22"/>
                <w:szCs w:val="22"/>
                <w:color w:val="auto"/>
                <w:w w:val="99"/>
              </w:rPr>
              <w:t>10%</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GAAP Gross Margin</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86.9%</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87.0%</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6"/>
              </w:rPr>
              <w:t>(10) bps</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Non-GAAP Gross Margin</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87.8%</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88.2%</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6"/>
              </w:rPr>
              <w:t>(40) bps</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GAAP Operating Expenses</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$540.3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$507.3 million</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22"/>
                <w:szCs w:val="22"/>
                <w:color w:val="auto"/>
                <w:w w:val="95"/>
              </w:rPr>
              <w:t>6.5%</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Non-GAAP Operating Expenses</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$460.5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$426.5 million</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22"/>
                <w:szCs w:val="22"/>
                <w:color w:val="auto"/>
                <w:w w:val="95"/>
              </w:rPr>
              <w:t>8.0%</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GAAP Operating Income</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7"/>
              </w:rPr>
              <w:t>$70.5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$48.6 million</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9"/>
              </w:rPr>
              <w:t>$21.9 million</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Non-GAAP Operating Income</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$156.5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$137.1 million</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9"/>
              </w:rPr>
              <w:t>$19.4 million</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GAAP Operating Margin</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10.0%</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7.6%</w:t>
            </w:r>
          </w:p>
        </w:tc>
        <w:tc>
          <w:tcPr>
            <w:tcW w:w="162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8"/>
              </w:rPr>
              <w:t>240 bps</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Non-GAAP Operating Margin</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22.3%</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21.5%</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9"/>
              </w:rPr>
              <w:t>80 bps</w:t>
            </w:r>
          </w:p>
        </w:tc>
      </w:tr>
      <w:tr>
        <w:trPr>
          <w:trHeight w:val="270"/>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$207.5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$218.5 million</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7"/>
              </w:rPr>
              <w:t>($11.0) million</w:t>
            </w:r>
          </w:p>
        </w:tc>
      </w:tr>
      <w:tr>
        <w:trPr>
          <w:trHeight w:val="282"/>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Free Cash Flow</w:t>
            </w:r>
          </w:p>
        </w:tc>
        <w:tc>
          <w:tcPr>
            <w:tcW w:w="2340" w:type="dxa"/>
            <w:vAlign w:val="bottom"/>
          </w:tcPr>
          <w:p>
            <w:pPr>
              <w:jc w:val="center"/>
              <w:ind w:left="352"/>
              <w:spacing w:after="0"/>
              <w:rPr>
                <w:sz w:val="20"/>
                <w:szCs w:val="20"/>
                <w:color w:val="auto"/>
              </w:rPr>
            </w:pPr>
            <w:r>
              <w:rPr>
                <w:rFonts w:ascii="Times New Roman" w:cs="Times New Roman" w:eastAsia="Times New Roman" w:hAnsi="Times New Roman"/>
                <w:sz w:val="22"/>
                <w:szCs w:val="22"/>
                <w:color w:val="auto"/>
                <w:w w:val="98"/>
              </w:rPr>
              <w:t>$197.2 million</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$203.4 million</w:t>
            </w:r>
          </w:p>
        </w:tc>
        <w:tc>
          <w:tcPr>
            <w:tcW w:w="162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8"/>
              </w:rPr>
              <w:t>($6.2) million</w:t>
            </w:r>
          </w:p>
        </w:tc>
      </w:tr>
    </w:tbl>
    <w:p>
      <w:pPr>
        <w:spacing w:after="0" w:line="200" w:lineRule="exact"/>
        <w:rPr>
          <w:sz w:val="20"/>
          <w:szCs w:val="20"/>
          <w:color w:val="auto"/>
        </w:rPr>
      </w:pPr>
    </w:p>
    <w:p>
      <w:pPr>
        <w:spacing w:after="0" w:line="23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2"/>
          <w:szCs w:val="22"/>
          <w:color w:val="auto"/>
        </w:rPr>
        <w:t>Reconciliations between GAAP and non-GAAP financial measures and key performance measures, to the extent available, are provided in the tables of this press release.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Company Highlights</w:t>
      </w:r>
    </w:p>
    <w:p>
      <w:pPr>
        <w:spacing w:after="0" w:line="210" w:lineRule="exact"/>
        <w:rPr>
          <w:sz w:val="20"/>
          <w:szCs w:val="20"/>
          <w:color w:val="auto"/>
        </w:rPr>
      </w:pPr>
    </w:p>
    <w:p>
      <w:pPr>
        <w:ind w:left="540" w:right="200"/>
        <w:spacing w:after="0" w:line="238" w:lineRule="auto"/>
        <w:rPr>
          <w:sz w:val="20"/>
          <w:szCs w:val="20"/>
          <w:color w:val="auto"/>
        </w:rPr>
      </w:pPr>
      <w:r>
        <w:rPr>
          <w:rFonts w:ascii="Times New Roman" w:cs="Times New Roman" w:eastAsia="Times New Roman" w:hAnsi="Times New Roman"/>
          <w:sz w:val="22"/>
          <w:szCs w:val="22"/>
          <w:u w:val="single" w:color="auto"/>
          <w:color w:val="auto"/>
        </w:rPr>
        <w:t>Nutanix Unveils Nutanix Agentic AI, Full Stack Software Solution to Unlock the Potential of Enterprise AI Factories:</w:t>
      </w:r>
      <w:r>
        <w:rPr>
          <w:rFonts w:ascii="Times New Roman" w:cs="Times New Roman" w:eastAsia="Times New Roman" w:hAnsi="Times New Roman"/>
          <w:sz w:val="22"/>
          <w:szCs w:val="22"/>
          <w:color w:val="auto"/>
        </w:rPr>
        <w:t xml:space="preserve"> At NVIDIA GTC 2026, Nutanix announced the Nutanix Agentic AI solution, a full software stack purpose built to help customers accelerate adoption of Agentic AI for business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Times New Roman" w:cs="Times New Roman" w:eastAsia="Times New Roman" w:hAnsi="Times New Roman"/>
          <w:sz w:val="22"/>
          <w:szCs w:val="22"/>
          <w:color w:val="auto"/>
        </w:rPr>
        <w:t>Nutanix held its annual .NEXT conference in Chicago, IL on April 7 - 9, 2026, and made the following announcements at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6" w:lineRule="auto"/>
        <w:rPr>
          <w:sz w:val="20"/>
          <w:szCs w:val="20"/>
          <w:color w:val="auto"/>
        </w:rPr>
      </w:pPr>
      <w:r>
        <w:rPr>
          <w:rFonts w:ascii="Times New Roman" w:cs="Times New Roman" w:eastAsia="Times New Roman" w:hAnsi="Times New Roman"/>
          <w:sz w:val="22"/>
          <w:szCs w:val="22"/>
          <w:u w:val="single" w:color="auto"/>
          <w:color w:val="auto"/>
        </w:rPr>
        <w:t>Nutanix and NetApp Form Strategic Alliance with New Integration for a Modern Cloud Platform:</w:t>
      </w:r>
      <w:r>
        <w:rPr>
          <w:rFonts w:ascii="Times New Roman" w:cs="Times New Roman" w:eastAsia="Times New Roman" w:hAnsi="Times New Roman"/>
          <w:sz w:val="22"/>
          <w:szCs w:val="22"/>
          <w:color w:val="auto"/>
        </w:rPr>
        <w:t xml:space="preserve"> Nutanix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-107315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240"/>
        <w:spacing w:after="0" w:line="220" w:lineRule="auto"/>
        <w:rPr>
          <w:sz w:val="20"/>
          <w:szCs w:val="20"/>
          <w:color w:val="auto"/>
        </w:rPr>
      </w:pPr>
      <w:r>
        <w:rPr>
          <w:rFonts w:ascii="Times New Roman" w:cs="Times New Roman" w:eastAsia="Times New Roman" w:hAnsi="Times New Roman"/>
          <w:sz w:val="21"/>
          <w:szCs w:val="21"/>
          <w:color w:val="auto"/>
        </w:rPr>
        <w:t>NetApp</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announced a collaboration to integrate NetApp Intelligent Data Infrastructure built on NetApp enterprise storage systems with the Nutanix Cloud Platform (NCP) solution and Nutanix AHV hypervisor later this year. </w:t>
      </w:r>
      <w:r>
        <w:rPr>
          <w:rFonts w:ascii="Times New Roman" w:cs="Times New Roman" w:eastAsia="Times New Roman" w:hAnsi="Times New Roman"/>
          <w:sz w:val="21"/>
          <w:szCs w:val="21"/>
          <w:u w:val="single" w:color="auto"/>
          <w:color w:val="auto"/>
        </w:rPr>
        <w:t>Nutanix Introduces NKP Metal, Bringing Bare-Metal Kubernetes to its Platform:</w:t>
      </w:r>
      <w:r>
        <w:rPr>
          <w:rFonts w:ascii="Times New Roman" w:cs="Times New Roman" w:eastAsia="Times New Roman" w:hAnsi="Times New Roman"/>
          <w:sz w:val="21"/>
          <w:szCs w:val="21"/>
          <w:color w:val="auto"/>
        </w:rPr>
        <w:t xml:space="preserve"> Nutanix announced NKP Metal which extends the Nutanix operating model and Nutanix Kubernetes Platform (NKP) solution to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-259715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181" w:lineRule="auto"/>
        <w:rPr>
          <w:sz w:val="20"/>
          <w:szCs w:val="20"/>
          <w:color w:val="auto"/>
        </w:rPr>
      </w:pPr>
      <w:r>
        <w:rPr>
          <w:rFonts w:ascii="Times New Roman" w:cs="Times New Roman" w:eastAsia="Times New Roman" w:hAnsi="Times New Roman"/>
          <w:sz w:val="21"/>
          <w:szCs w:val="21"/>
          <w:color w:val="auto"/>
        </w:rPr>
        <w:t>Kubernetes</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deployments directly on bare-metal infrastructure.</w:t>
      </w:r>
    </w:p>
    <w:p>
      <w:pPr>
        <w:spacing w:after="0" w:line="1" w:lineRule="exact"/>
        <w:rPr>
          <w:sz w:val="20"/>
          <w:szCs w:val="20"/>
          <w:color w:val="auto"/>
        </w:rPr>
      </w:pPr>
    </w:p>
    <w:p>
      <w:pPr>
        <w:ind w:left="1080" w:right="20"/>
        <w:spacing w:after="0" w:line="230" w:lineRule="auto"/>
        <w:rPr>
          <w:sz w:val="20"/>
          <w:szCs w:val="20"/>
          <w:color w:val="auto"/>
        </w:rPr>
      </w:pPr>
      <w:r>
        <w:rPr>
          <w:rFonts w:ascii="Times New Roman" w:cs="Times New Roman" w:eastAsia="Times New Roman" w:hAnsi="Times New Roman"/>
          <w:sz w:val="22"/>
          <w:szCs w:val="22"/>
          <w:u w:val="single" w:color="auto"/>
          <w:color w:val="auto"/>
        </w:rPr>
        <w:t>Nutanix Database Platform Bolsters MongoDB Support with New Certified Integration:</w:t>
      </w:r>
      <w:r>
        <w:rPr>
          <w:rFonts w:ascii="Times New Roman" w:cs="Times New Roman" w:eastAsia="Times New Roman" w:hAnsi="Times New Roman"/>
          <w:sz w:val="22"/>
          <w:szCs w:val="22"/>
          <w:color w:val="auto"/>
        </w:rPr>
        <w:t xml:space="preserve"> Nutanix announced a certified integration between the Nutanix Database Service (NDB) platform and MongoDB Ops Manager, combining infrastructure automation with database management to simplify MongoDB operations for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-411480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60"/>
        <w:spacing w:after="0" w:line="230" w:lineRule="auto"/>
        <w:rPr>
          <w:sz w:val="20"/>
          <w:szCs w:val="20"/>
          <w:color w:val="auto"/>
        </w:rPr>
      </w:pPr>
      <w:r>
        <w:rPr>
          <w:rFonts w:ascii="Times New Roman" w:cs="Times New Roman" w:eastAsia="Times New Roman" w:hAnsi="Times New Roman"/>
          <w:sz w:val="22"/>
          <w:szCs w:val="22"/>
          <w:u w:val="single" w:color="auto"/>
          <w:color w:val="auto"/>
        </w:rPr>
        <w:t>Nutanix to Extend Nutanix Agentic AI, Empowering Neoclouds to Deliver Higher Value AI Services:</w:t>
      </w:r>
      <w:r>
        <w:rPr>
          <w:rFonts w:ascii="Times New Roman" w:cs="Times New Roman" w:eastAsia="Times New Roman" w:hAnsi="Times New Roman"/>
          <w:sz w:val="22"/>
          <w:szCs w:val="22"/>
          <w:color w:val="auto"/>
        </w:rPr>
        <w:t xml:space="preserve"> Nutanix announced it will introduce new capabilities in the second half of 2026 for its Nutanix Agentic AI solution that are designed to help a new generation of AI cloud providers, known as neoclouds, to deliver secure, scalable AI services to AI engineers and agentic AI developers.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-565785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140"/>
        <w:spacing w:after="0" w:line="234" w:lineRule="auto"/>
        <w:rPr>
          <w:sz w:val="20"/>
          <w:szCs w:val="20"/>
          <w:color w:val="auto"/>
        </w:rPr>
      </w:pPr>
      <w:r>
        <w:rPr>
          <w:rFonts w:ascii="Times New Roman" w:cs="Times New Roman" w:eastAsia="Times New Roman" w:hAnsi="Times New Roman"/>
          <w:sz w:val="22"/>
          <w:szCs w:val="22"/>
          <w:u w:val="single" w:color="auto"/>
          <w:color w:val="auto"/>
        </w:rPr>
        <w:t>Nutanix Accelerates Service Provider Growth with New Cloud Capabilities and Migration Programs:</w:t>
      </w:r>
      <w:r>
        <w:rPr>
          <w:rFonts w:ascii="Times New Roman" w:cs="Times New Roman" w:eastAsia="Times New Roman" w:hAnsi="Times New Roman"/>
          <w:sz w:val="22"/>
          <w:szCs w:val="22"/>
          <w:color w:val="auto"/>
        </w:rPr>
        <w:t xml:space="preserve"> Nutanix announced new platform and program enhancements for Nutanix Elevate Service Provider Program partners, including the new multitenant cloud capabilities enabled by the Nutanix Service Provider Central program designed to help partners scale and differentiate their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-576580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ind w:left="540" w:right="180"/>
        <w:spacing w:after="0" w:line="242" w:lineRule="auto"/>
        <w:rPr>
          <w:sz w:val="20"/>
          <w:szCs w:val="20"/>
          <w:color w:val="auto"/>
        </w:rPr>
      </w:pPr>
      <w:r>
        <w:rPr>
          <w:rFonts w:ascii="Times New Roman" w:cs="Times New Roman" w:eastAsia="Times New Roman" w:hAnsi="Times New Roman"/>
          <w:sz w:val="22"/>
          <w:szCs w:val="22"/>
          <w:color w:val="auto"/>
        </w:rPr>
        <w:t>Nutanix also held its Investor Day 2026 on April 7, 2026 in conjunction with its annual .NEXT conference, and made the following announcement at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500"/>
        <w:spacing w:after="0" w:line="235" w:lineRule="auto"/>
        <w:rPr>
          <w:sz w:val="20"/>
          <w:szCs w:val="20"/>
          <w:color w:val="auto"/>
        </w:rPr>
      </w:pPr>
      <w:r>
        <w:rPr>
          <w:rFonts w:ascii="Times New Roman" w:cs="Times New Roman" w:eastAsia="Times New Roman" w:hAnsi="Times New Roman"/>
          <w:sz w:val="22"/>
          <w:szCs w:val="22"/>
          <w:u w:val="single" w:color="auto"/>
          <w:color w:val="auto"/>
        </w:rPr>
        <w:t>Nutanix Announces $750 Million Increase to Share Repurchase Authorization:</w:t>
      </w:r>
      <w:r>
        <w:rPr>
          <w:rFonts w:ascii="Times New Roman" w:cs="Times New Roman" w:eastAsia="Times New Roman" w:hAnsi="Times New Roman"/>
          <w:sz w:val="22"/>
          <w:szCs w:val="22"/>
          <w:color w:val="auto"/>
        </w:rPr>
        <w:t xml:space="preserve"> Nutanix announced its Board of Directors authorized an increase of $750 million of common stock to the company’s existing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-421640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Fourth Quarter Fiscal 2026 Outlook</w:t>
            </w:r>
          </w:p>
        </w:tc>
        <w:tc>
          <w:tcPr>
            <w:tcW w:w="4640" w:type="dxa"/>
            <w:vAlign w:val="bottom"/>
          </w:tcPr>
          <w:p>
            <w:pPr>
              <w:spacing w:after="0"/>
              <w:rPr>
                <w:sz w:val="24"/>
                <w:szCs w:val="24"/>
                <w:color w:val="auto"/>
              </w:rPr>
            </w:pPr>
          </w:p>
        </w:tc>
      </w:tr>
      <w:tr>
        <w:trPr>
          <w:trHeight w:val="730"/>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Revenue</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$725 - $745 million</w:t>
            </w:r>
          </w:p>
        </w:tc>
      </w:tr>
      <w:tr>
        <w:trPr>
          <w:trHeight w:val="270"/>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Non-GAAP Operating Margin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 to 23%</w:t>
            </w:r>
          </w:p>
        </w:tc>
      </w:tr>
      <w:tr>
        <w:trPr>
          <w:trHeight w:val="484"/>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Weighted Average Shares Outstanding (Diluted)</w:t>
            </w:r>
            <w:r>
              <w:rPr>
                <w:rFonts w:ascii="Times New Roman" w:cs="Times New Roman" w:eastAsia="Times New Roman" w:hAnsi="Times New Roman"/>
                <w:sz w:val="35"/>
                <w:szCs w:val="35"/>
                <w:color w:val="auto"/>
                <w:vertAlign w:val="superscript"/>
              </w:rPr>
              <w:t>3</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Approximately 292 million</w:t>
            </w:r>
          </w:p>
        </w:tc>
      </w:tr>
      <w:tr>
        <w:trPr>
          <w:trHeight w:val="568"/>
        </w:trPr>
        <w:tc>
          <w:tcPr>
            <w:tcW w:w="6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Fiscal 2026 Outlook</w:t>
            </w:r>
          </w:p>
        </w:tc>
        <w:tc>
          <w:tcPr>
            <w:tcW w:w="4640" w:type="dxa"/>
            <w:vAlign w:val="bottom"/>
          </w:tcPr>
          <w:p>
            <w:pPr>
              <w:spacing w:after="0"/>
              <w:rPr>
                <w:sz w:val="24"/>
                <w:szCs w:val="24"/>
                <w:color w:val="auto"/>
              </w:rPr>
            </w:pPr>
          </w:p>
        </w:tc>
      </w:tr>
      <w:tr>
        <w:trPr>
          <w:trHeight w:val="730"/>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Revenue</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$2.82 - $2.84 billion</w:t>
            </w:r>
          </w:p>
        </w:tc>
      </w:tr>
      <w:tr>
        <w:trPr>
          <w:trHeight w:val="270"/>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Non-GAAP Operating Margin</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Approximately 22.5%</w:t>
            </w:r>
          </w:p>
        </w:tc>
      </w:tr>
      <w:tr>
        <w:trPr>
          <w:trHeight w:val="282"/>
        </w:trPr>
        <w:tc>
          <w:tcPr>
            <w:tcW w:w="6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Free Cash Flow</w:t>
            </w:r>
          </w:p>
        </w:tc>
        <w:tc>
          <w:tcPr>
            <w:tcW w:w="4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$760 - $780 million</w:t>
            </w:r>
          </w:p>
        </w:tc>
      </w:tr>
    </w:tbl>
    <w:p>
      <w:pPr>
        <w:spacing w:after="0" w:line="200" w:lineRule="exact"/>
        <w:rPr>
          <w:sz w:val="20"/>
          <w:szCs w:val="20"/>
          <w:color w:val="auto"/>
        </w:rPr>
      </w:pPr>
    </w:p>
    <w:p>
      <w:pPr>
        <w:spacing w:after="0" w:line="233"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 xml:space="preserve">Supplementary materials to this press release, including our third quarter fiscal 2026 earnings presentation, can be found at </w:t>
      </w:r>
      <w:r>
        <w:rPr>
          <w:rFonts w:ascii="Times New Roman" w:cs="Times New Roman" w:eastAsia="Times New Roman" w:hAnsi="Times New Roman"/>
          <w:sz w:val="22"/>
          <w:szCs w:val="22"/>
          <w:u w:val="single" w:color="auto"/>
          <w:color w:val="auto"/>
        </w:rPr>
        <w:t>https://ir.nutanix.com/financial/quarterly-results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 and Conference Call Information</w:t>
      </w:r>
    </w:p>
    <w:p>
      <w:pPr>
        <w:spacing w:after="0" w:line="2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 xml:space="preserve">Nutanix executives will discuss the Company’s third quarter fiscal 2026 financial results on a conference call today at 4:30 p.m. Eastern Time / 1:30 p.m. Pacific Time. Interested parties may access the conference call by registering at </w:t>
      </w:r>
      <w:r>
        <w:rPr>
          <w:rFonts w:ascii="Times New Roman" w:cs="Times New Roman" w:eastAsia="Times New Roman" w:hAnsi="Times New Roman"/>
          <w:sz w:val="22"/>
          <w:szCs w:val="22"/>
          <w:u w:val="single" w:color="auto"/>
          <w:color w:val="auto"/>
        </w:rPr>
        <w:t>this link</w:t>
      </w:r>
      <w:r>
        <w:rPr>
          <w:rFonts w:ascii="Times New Roman" w:cs="Times New Roman" w:eastAsia="Times New Roman" w:hAnsi="Times New Roman"/>
          <w:sz w:val="22"/>
          <w:szCs w:val="22"/>
          <w:color w:val="auto"/>
        </w:rPr>
        <w:t xml:space="preserve"> to receive dial in details and a unique PIN number. The conference call will also be webcast live on the Nutanix Investor Relations website at </w:t>
      </w:r>
      <w:r>
        <w:rPr>
          <w:rFonts w:ascii="Times New Roman" w:cs="Times New Roman" w:eastAsia="Times New Roman" w:hAnsi="Times New Roman"/>
          <w:sz w:val="22"/>
          <w:szCs w:val="22"/>
          <w:u w:val="single" w:color="auto"/>
          <w:color w:val="auto"/>
        </w:rPr>
        <w:t>ir.nutanix.com</w:t>
      </w:r>
      <w:r>
        <w:rPr>
          <w:rFonts w:ascii="Times New Roman" w:cs="Times New Roman" w:eastAsia="Times New Roman" w:hAnsi="Times New Roman"/>
          <w:sz w:val="22"/>
          <w:szCs w:val="22"/>
          <w:color w:val="auto"/>
        </w:rPr>
        <w:t xml:space="preserve">. An archived replay of the webcast will be available on the Nutanix Investor Relations website at </w:t>
      </w:r>
      <w:r>
        <w:rPr>
          <w:rFonts w:ascii="Times New Roman" w:cs="Times New Roman" w:eastAsia="Times New Roman" w:hAnsi="Times New Roman"/>
          <w:sz w:val="22"/>
          <w:szCs w:val="22"/>
          <w:u w:val="single" w:color="auto"/>
          <w:color w:val="auto"/>
        </w:rPr>
        <w:t>ir.nutanix.com</w:t>
      </w:r>
      <w:r>
        <w:rPr>
          <w:rFonts w:ascii="Times New Roman" w:cs="Times New Roman" w:eastAsia="Times New Roman" w:hAnsi="Times New Roman"/>
          <w:sz w:val="22"/>
          <w:szCs w:val="22"/>
          <w:color w:val="auto"/>
        </w:rPr>
        <w:t xml:space="preserve"> shortly after the call.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Footnotes</w:t>
      </w:r>
    </w:p>
    <w:p>
      <w:pPr>
        <w:spacing w:after="0" w:line="21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34"/>
          <w:szCs w:val="34"/>
          <w:i w:val="1"/>
          <w:iCs w:val="1"/>
          <w:color w:val="auto"/>
          <w:vertAlign w:val="superscript"/>
        </w:rPr>
        <w:t>1</w:t>
      </w:r>
      <w:r>
        <w:rPr>
          <w:rFonts w:ascii="Times New Roman" w:cs="Times New Roman" w:eastAsia="Times New Roman" w:hAnsi="Times New Roman"/>
          <w:sz w:val="21"/>
          <w:szCs w:val="21"/>
          <w:b w:val="1"/>
          <w:bCs w:val="1"/>
          <w:i w:val="1"/>
          <w:iCs w:val="1"/>
          <w:color w:val="auto"/>
        </w:rPr>
        <w:t>Annual Recurring Revenue</w:t>
      </w:r>
      <w:r>
        <w:rPr>
          <w:rFonts w:ascii="Times New Roman" w:cs="Times New Roman" w:eastAsia="Times New Roman" w:hAnsi="Times New Roman"/>
          <w:sz w:val="21"/>
          <w:szCs w:val="21"/>
          <w:i w:val="1"/>
          <w:iCs w:val="1"/>
          <w:color w:val="auto"/>
        </w:rPr>
        <w:t>, or</w:t>
      </w:r>
      <w:r>
        <w:rPr>
          <w:rFonts w:ascii="Times New Roman" w:cs="Times New Roman" w:eastAsia="Times New Roman" w:hAnsi="Times New Roman"/>
          <w:sz w:val="21"/>
          <w:szCs w:val="21"/>
          <w:b w:val="1"/>
          <w:bCs w:val="1"/>
          <w:i w:val="1"/>
          <w:iCs w:val="1"/>
          <w:color w:val="auto"/>
        </w:rPr>
        <w:t xml:space="preserve"> ARR</w:t>
      </w:r>
      <w:r>
        <w:rPr>
          <w:rFonts w:ascii="Times New Roman" w:cs="Times New Roman" w:eastAsia="Times New Roman" w:hAnsi="Times New Roman"/>
          <w:sz w:val="21"/>
          <w:szCs w:val="21"/>
          <w:i w:val="1"/>
          <w:iCs w:val="1"/>
          <w:color w:val="auto"/>
        </w:rPr>
        <w:t>, is defined as the sum of ACV for all subscription contracts from all customers in effect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 xml:space="preserve">of the end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w:t>
      </w:r>
      <w:r>
        <w:rPr>
          <w:rFonts w:ascii="Times New Roman" w:cs="Times New Roman" w:eastAsia="Times New Roman" w:hAnsi="Times New Roman"/>
          <w:sz w:val="21"/>
          <w:szCs w:val="21"/>
          <w:b w:val="1"/>
          <w:bCs w:val="1"/>
          <w:i w:val="1"/>
          <w:iCs w:val="1"/>
          <w:color w:val="auto"/>
        </w:rPr>
        <w:t xml:space="preserve">ACV </w:t>
      </w:r>
      <w:r>
        <w:rPr>
          <w:rFonts w:ascii="Times New Roman" w:cs="Times New Roman" w:eastAsia="Times New Roman" w:hAnsi="Times New Roman"/>
          <w:sz w:val="21"/>
          <w:szCs w:val="21"/>
          <w:i w:val="1"/>
          <w:iCs w:val="1"/>
          <w:color w:val="auto"/>
        </w:rPr>
        <w:t>is defined as the total annualized value of a contract. The total annualized value for a contract is calculated by dividing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total value of the contract by the number of years in the term of such contract. Beginning with the first quarter of fiscal 2026, our methodology for calculating ARR was updated to align more closely with the timing of when licenses are made available to customers. For comparability purposes, ARR for all prior periods have been adjusted to conform to the updated methodology.</w:t>
      </w:r>
    </w:p>
    <w:p>
      <w:pPr>
        <w:spacing w:after="0" w:line="185" w:lineRule="exact"/>
        <w:rPr>
          <w:sz w:val="20"/>
          <w:szCs w:val="20"/>
          <w:color w:val="auto"/>
        </w:rPr>
      </w:pPr>
    </w:p>
    <w:p>
      <w:pPr>
        <w:ind w:right="740"/>
        <w:spacing w:after="0" w:line="215" w:lineRule="auto"/>
        <w:rPr>
          <w:sz w:val="20"/>
          <w:szCs w:val="20"/>
          <w:color w:val="auto"/>
        </w:rPr>
      </w:pPr>
      <w:r>
        <w:rPr>
          <w:rFonts w:ascii="Times New Roman" w:cs="Times New Roman" w:eastAsia="Times New Roman" w:hAnsi="Times New Roman"/>
          <w:sz w:val="35"/>
          <w:szCs w:val="35"/>
          <w:i w:val="1"/>
          <w:iCs w:val="1"/>
          <w:color w:val="auto"/>
          <w:vertAlign w:val="superscript"/>
        </w:rPr>
        <w:t>2</w:t>
      </w:r>
      <w:r>
        <w:rPr>
          <w:rFonts w:ascii="Times New Roman" w:cs="Times New Roman" w:eastAsia="Times New Roman" w:hAnsi="Times New Roman"/>
          <w:sz w:val="22"/>
          <w:szCs w:val="22"/>
          <w:b w:val="1"/>
          <w:bCs w:val="1"/>
          <w:i w:val="1"/>
          <w:iCs w:val="1"/>
          <w:color w:val="auto"/>
        </w:rPr>
        <w:t xml:space="preserve">Average Contract Duration </w:t>
      </w:r>
      <w:r>
        <w:rPr>
          <w:rFonts w:ascii="Times New Roman" w:cs="Times New Roman" w:eastAsia="Times New Roman" w:hAnsi="Times New Roman"/>
          <w:sz w:val="22"/>
          <w:szCs w:val="22"/>
          <w:i w:val="1"/>
          <w:iCs w:val="1"/>
          <w:color w:val="auto"/>
        </w:rPr>
        <w:t>represents the dollar-weighted term, calculated on a billings basis, across all subscription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contracts, as well as our limited number of life-of-device contracts, using an assumed term of five years for life-of-device licenses, executed in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i w:val="1"/>
          <w:iCs w:val="1"/>
          <w:color w:val="auto"/>
          <w:vertAlign w:val="superscript"/>
        </w:rPr>
        <w:t>3</w:t>
      </w:r>
      <w:r>
        <w:rPr>
          <w:rFonts w:ascii="Times New Roman" w:cs="Times New Roman" w:eastAsia="Times New Roman" w:hAnsi="Times New Roman"/>
          <w:sz w:val="22"/>
          <w:szCs w:val="22"/>
          <w:i w:val="1"/>
          <w:iCs w:val="1"/>
          <w:color w:val="auto"/>
        </w:rPr>
        <w:t>Weighted average share count used in computing diluted non-GAAP net income per share.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 and Other Key Performance Measures</w:t>
      </w:r>
    </w:p>
    <w:p>
      <w:pPr>
        <w:spacing w:after="0" w:line="21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To supplement our consolidated financial statements, which are prepared and presented in accordance with GAAP, this press release includes the following non-GAAP financial and other key performance measures: non-GAAP gross margin, non-GAAP operating expenses, non-GAAP operating income, non-GAAP operating margin, free cash flow, Annual Recurring Revenue (or ARR), and Average Contract Duration. In computing non-GAAP financial measures, we exclude certain items such as stock-based compensation, costs associated with our acquisitions (such as amortization of acquired intangible assets and other acquisition-related costs), litigation settlement accruals and legal fees related to certain litigation matters, the amortization of the debt discount and issuance costs related to debt, interest expense related to debt, inducement expense related to the repurchase of convertible senior notes, and other non-recurring transactions and the related tax impact. Non-GAAP gross margin, non-GAAP operating expenses, non-GAAP operating income, and non-GAAP operating margin are financial measures which we believe provide useful information to investors because they provide meaningful supplemental information regarding our performance and liquidity by excluding certain expenses and expenditures such as stock-based compensation expense that may not be indicative of our ongoing core business operating results. Free cash flow is a performance measure that we believe provides useful information to our management and investors about the amount of cash generated by the business after capital expenditures, and we define free cash flow as net cash provided by operating activities less purchases of property and equipment.</w:t>
      </w:r>
    </w:p>
    <w:p>
      <w:pPr>
        <w:sectPr>
          <w:pgSz w:w="11900" w:h="16838" w:orient="portrait"/>
          <w:cols w:equalWidth="0" w:num="1">
            <w:col w:w="11220"/>
          </w:cols>
          <w:pgMar w:left="320" w:top="112" w:right="359" w:bottom="0" w:gutter="0" w:footer="0" w:header="0"/>
        </w:sectPr>
      </w:pPr>
    </w:p>
    <w:bookmarkStart w:id="5" w:name="page6"/>
    <w:bookmarkEnd w:id="5"/>
    <w:p>
      <w:pPr>
        <w:ind w:right="20"/>
        <w:spacing w:after="0" w:line="231" w:lineRule="auto"/>
        <w:rPr>
          <w:sz w:val="20"/>
          <w:szCs w:val="20"/>
          <w:color w:val="auto"/>
        </w:rPr>
      </w:pPr>
      <w:r>
        <w:rPr>
          <w:rFonts w:ascii="Times New Roman" w:cs="Times New Roman" w:eastAsia="Times New Roman" w:hAnsi="Times New Roman"/>
          <w:sz w:val="22"/>
          <w:szCs w:val="22"/>
          <w:color w:val="auto"/>
        </w:rPr>
        <w:t>ARR is a performance measure that we believe provides useful information to our management and investors as it allows us to better track the top-line growth of our subscription business (including our ability to acquire subscriptions with new customers and to retain and expand with existing customers), while normalizing for differences in contract durations. Our calculation of ARR is not adjusted for the impact of any known or projected future events (such as customer cancellations, expansion or contraction of existing customers relationships or price increases or decreases) that may cause any subscription contract not to be renewed on its existing terms. ARR is a performance measure that should be viewed independently of revenue and does not represent our revenue under GAAP on an annualized basis or a forecast of GAAP revenue. Investors should not place undue reliance on ARR as an indicator of our future or expected results. ARR does not have any standardized meaning and is therefore unlikely to be comparable to similarly titled performance measures presented by other companies. We use these non-GAAP financial and key performance measures for financial and operational decision-making and as a means to evaluate period-to-period comparisons. However, these non-GAAP financial and key performance measures have limitations as analytical tools and you should not consider them in isolation or as substitutes for analysis of our results as reported under GAAP. Non-GAAP gross margin, non-GAAP operating expenses, non-GAAP operating income, non-GAAP operating margin, and free cash flow are not substitutes for gross margin, operating expenses, operating income, operating margin, and net cash provided by operating activities, respectively. There is no GAAP measure that is comparable to ARR or Average Contract Duration, so we have not reconciled the ARR or Average Contract Duration data included in this press release to any GAAP measure.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We urge you to review the reconciliation of our non-GAAP financial measures and key performance measures to the most directly comparable GAAP financial measures included below in the tables captioned “Reconciliation of GAAP to Non-GAAP Profit Measures” and “Reconciliation of GAAP Net Cash Provided By Operating Activities to Non-GAAP Free Cash Flow,” and not to rely on any single financial measure to evaluate our business. This press release also includes the following forward-looking non-GAAP financial measures as part of our fourth quarter fiscal 2026 outlook and/or our fiscal 2026 outlook: non-GAAP operating margin and free cash flow. We are unable to reconcile these forward-looking non-GAAP financial measures to their most directly comparable GAAP financial measures without unreasonable efforts, as we are currently unable to predict with a reasonable degree of certainty the type and extent of certain items that would be expected to impact the GAAP financial measures for these periods but would not impact the non-GAAP financial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press release contains express and implied forward-looking statements, including, but not limited to, statements regarding: our business trends, momentum and prospects; our expectations regarding demand for our solutions; our ability to pursue the substantial market opportunity ahead, including through our innovations and partnerships in AI, modern applications and external storage; our focus on driving sustainable growth and improving profitability; our fourth quarter fiscal 2026 outlook; and our fiscal 2026 outlook.</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These forward-looking statements are not historical facts and instead are based on our current expectations, estimates, opinions, and beliefs. Consequently, you should not rely on these forward-looking statements. The accuracy of these forward-looking statements depends upon future events and involves risks, uncertainties, and other factors, including factors that may be beyond our control, that may cause these statements to be inaccurate and cause our actual results, performance or achievements to differ materially and adversely from those anticipated or implied by such statements, including, among others: the inherent uncertainty or assumptions and estimates underlying our projections and guidance, which are necessarily speculative in nature; supply chain constraints, component availability and related impacts on the timing of orders, shipments and customer deployments; any failure to successfully implement or realize the full benefits of, or unexpected difficulties or delays in successfully implementing or realizing the full benefits of, our business plans, strategies, initiatives, vision, objectives, momentum, prospects and outlook; our ability to achieve, sustain and/or manage future growth effectively; the rapid evolution of the markets in which we compete, including the introduction, or acceleration of adoption of, competing solutions, including public cloud infrastructure; failure to timely and successfully meet our customer needs; delays in or lack of customer or market acceptance of our new solutions, products, services, product features or technology; macroeconomic or geopolitical uncertainty; our ability to attract, recruit, train, retain, and, where applicable, ramp to full productivity, qualified employees and key personnel; factors that could result in the significant fluctuation of our future quarterly operating results (including anticipated changes to our revenue and product mix, the timing and magnitude of orders, shipments and acceptance of our solutions in any given quarter, our ability to attract new and retain existing end-customers, changes in the pricing and availability of certain components of our solutions, and fluctuations in demand and competitive pricing pressures for our solutions); our ability to form new or maintain and strengthen existing strategic alliances and partnerships, as well as our ability to manage any changes thereto; our ability to make share repurchases; and other risks detailed in our Annual Report on Form 10-K for the fiscal year ended July 31, 2025 filed with the U.S. Securities and Exchange Commission, or the SEC, on September 24, 2025 and subsequent quarterly reports. Additional information will be set forth in our Quarterly Report on Form 10-Q for the fiscal quarter ended April 30, 2026, which should be read in conjunction with this press release and the financial results included herein. Our SEC filings are available on the Investor Relations section of our website at ir.nutanix.com and on the SEC's website at www.sec.gov. These forward-looking statements speak only as of the date of this press release and, except as required by law, we assume no obligation, and expressly disclaim any obligation, to update, alter or otherwise revise any of these forward-looking statements to reflect actual results or subsequent events or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Nutanix</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Nutanix is a hybrid multicloud computing leader, offering organizations a unified software platform for running applications and AI and managing data anywhere. With Nutanix, organizations can simplify operations for traditional and modern applications,</w:t>
      </w:r>
    </w:p>
    <w:p>
      <w:pPr>
        <w:sectPr>
          <w:pgSz w:w="11900" w:h="16838" w:orient="portrait"/>
          <w:cols w:equalWidth="0" w:num="1">
            <w:col w:w="11220"/>
          </w:cols>
          <w:pgMar w:left="320" w:top="111" w:right="359" w:bottom="0" w:gutter="0" w:footer="0" w:header="0"/>
        </w:sectPr>
      </w:pPr>
    </w:p>
    <w:bookmarkStart w:id="6" w:name="page7"/>
    <w:bookmarkEnd w:id="6"/>
    <w:p>
      <w:pPr>
        <w:ind w:right="220"/>
        <w:spacing w:after="0" w:line="244" w:lineRule="auto"/>
        <w:rPr>
          <w:sz w:val="20"/>
          <w:szCs w:val="20"/>
          <w:color w:val="auto"/>
        </w:rPr>
      </w:pPr>
      <w:r>
        <w:rPr>
          <w:rFonts w:ascii="Times New Roman" w:cs="Times New Roman" w:eastAsia="Times New Roman" w:hAnsi="Times New Roman"/>
          <w:sz w:val="22"/>
          <w:szCs w:val="22"/>
          <w:color w:val="auto"/>
        </w:rPr>
        <w:t xml:space="preserve">freeing them to focus on business goals. Trusted by more than 30,000 customers worldwide, Nutanix helps empower organizations to transform digitally and power hybrid multicloud environments consistently, simply, and cost-effectively. Learn more at </w:t>
      </w:r>
      <w:r>
        <w:rPr>
          <w:rFonts w:ascii="Times New Roman" w:cs="Times New Roman" w:eastAsia="Times New Roman" w:hAnsi="Times New Roman"/>
          <w:sz w:val="22"/>
          <w:szCs w:val="22"/>
          <w:u w:val="single" w:color="auto"/>
          <w:color w:val="auto"/>
        </w:rPr>
        <w:t>www.nutanix.com</w:t>
      </w:r>
      <w:r>
        <w:rPr>
          <w:rFonts w:ascii="Times New Roman" w:cs="Times New Roman" w:eastAsia="Times New Roman" w:hAnsi="Times New Roman"/>
          <w:sz w:val="22"/>
          <w:szCs w:val="22"/>
          <w:color w:val="auto"/>
        </w:rPr>
        <w:t xml:space="preserve"> or follow us on social media.</w:t>
      </w:r>
    </w:p>
    <w:p>
      <w:pPr>
        <w:spacing w:after="0" w:line="174" w:lineRule="exact"/>
        <w:rPr>
          <w:sz w:val="20"/>
          <w:szCs w:val="20"/>
          <w:color w:val="auto"/>
        </w:rPr>
      </w:pPr>
    </w:p>
    <w:p>
      <w:pPr>
        <w:ind w:right="20" w:firstLine="8"/>
        <w:spacing w:after="0" w:line="238" w:lineRule="auto"/>
        <w:tabs>
          <w:tab w:leader="none" w:pos="2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Nutanix, Inc. All rights reserved. Nutanix, the Nutanix logo, and all Nutanix product and service names mentioned herein are registered trademarks or unregistered trademarks of Nutanix, Inc. (“Nutanix”) in the United States and other countries. Other brand names or marks mentioned herein are for identification purposes only and may be the trademarks of their respective holder(s). This press release is for informational purposes only and nothing herein constitutes a warranty or other binding commitment by Nutanix.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Valera</w:t>
      </w:r>
    </w:p>
    <w:p>
      <w:pPr>
        <w:spacing w:after="0"/>
        <w:rPr>
          <w:sz w:val="20"/>
          <w:szCs w:val="20"/>
          <w:color w:val="auto"/>
        </w:rPr>
      </w:pPr>
      <w:r>
        <w:rPr>
          <w:rFonts w:ascii="Times New Roman" w:cs="Times New Roman" w:eastAsia="Times New Roman" w:hAnsi="Times New Roman"/>
          <w:sz w:val="22"/>
          <w:szCs w:val="22"/>
          <w:u w:val="single" w:color="auto"/>
          <w:color w:val="auto"/>
        </w:rPr>
        <w:t>ir@nutanix.com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Jennifer Massaro</w:t>
      </w:r>
    </w:p>
    <w:p>
      <w:pPr>
        <w:spacing w:after="0"/>
        <w:rPr>
          <w:sz w:val="20"/>
          <w:szCs w:val="20"/>
          <w:color w:val="auto"/>
        </w:rPr>
      </w:pPr>
      <w:r>
        <w:rPr>
          <w:rFonts w:ascii="Times New Roman" w:cs="Times New Roman" w:eastAsia="Times New Roman" w:hAnsi="Times New Roman"/>
          <w:sz w:val="22"/>
          <w:szCs w:val="22"/>
          <w:u w:val="single" w:color="auto"/>
          <w:color w:val="auto"/>
        </w:rPr>
        <w:t>pr@nutanix.com</w:t>
      </w: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NUTANIX, INC.</w:t>
      </w:r>
    </w:p>
    <w:p>
      <w:pPr>
        <w:spacing w:after="0" w:line="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As of</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2"/>
                <w:szCs w:val="22"/>
                <w:b w:val="1"/>
                <w:bCs w:val="1"/>
                <w:color w:val="auto"/>
              </w:rPr>
              <w:t>July 31,</w:t>
            </w:r>
          </w:p>
        </w:tc>
        <w:tc>
          <w:tcPr>
            <w:tcW w:w="220" w:type="dxa"/>
            <w:vAlign w:val="bottom"/>
          </w:tcPr>
          <w:p>
            <w:pPr>
              <w:spacing w:after="0"/>
              <w:rPr>
                <w:sz w:val="19"/>
                <w:szCs w:val="19"/>
                <w:color w:val="auto"/>
              </w:rPr>
            </w:pPr>
          </w:p>
        </w:tc>
        <w:tc>
          <w:tcPr>
            <w:tcW w:w="1360" w:type="dxa"/>
            <w:vAlign w:val="bottom"/>
          </w:tcPr>
          <w:p>
            <w:pPr>
              <w:jc w:val="right"/>
              <w:ind w:right="332"/>
              <w:spacing w:after="0" w:line="220"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0" w:type="dxa"/>
            <w:vAlign w:val="bottom"/>
          </w:tcPr>
          <w:p>
            <w:pPr>
              <w:spacing w:after="0"/>
              <w:rPr>
                <w:sz w:val="1"/>
                <w:szCs w:val="1"/>
                <w:color w:val="auto"/>
              </w:rPr>
            </w:pPr>
          </w:p>
        </w:tc>
      </w:tr>
      <w:tr>
        <w:trPr>
          <w:trHeight w:val="287"/>
        </w:trPr>
        <w:tc>
          <w:tcPr>
            <w:tcW w:w="7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0" w:type="dxa"/>
            <w:vAlign w:val="bottom"/>
          </w:tcPr>
          <w:p>
            <w:pPr>
              <w:spacing w:after="0"/>
              <w:rPr>
                <w:sz w:val="1"/>
                <w:szCs w:val="1"/>
                <w:color w:val="auto"/>
              </w:rPr>
            </w:pPr>
          </w:p>
        </w:tc>
      </w:tr>
      <w:tr>
        <w:trPr>
          <w:trHeight w:val="281"/>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40" w:type="dxa"/>
            <w:vAlign w:val="bottom"/>
          </w:tcPr>
          <w:p>
            <w:pPr>
              <w:spacing w:after="0"/>
              <w:rPr>
                <w:sz w:val="24"/>
                <w:szCs w:val="24"/>
                <w:color w:val="auto"/>
              </w:rPr>
            </w:pPr>
          </w:p>
        </w:tc>
        <w:tc>
          <w:tcPr>
            <w:tcW w:w="3020" w:type="dxa"/>
            <w:vAlign w:val="bottom"/>
            <w:gridSpan w:val="4"/>
          </w:tcPr>
          <w:p>
            <w:pPr>
              <w:jc w:val="right"/>
              <w:ind w:right="932"/>
              <w:spacing w:after="0"/>
              <w:rPr>
                <w:sz w:val="20"/>
                <w:szCs w:val="20"/>
                <w:color w:val="auto"/>
              </w:rPr>
            </w:pPr>
            <w:r>
              <w:rPr>
                <w:rFonts w:ascii="Times New Roman" w:cs="Times New Roman" w:eastAsia="Times New Roman" w:hAnsi="Times New Roman"/>
                <w:sz w:val="22"/>
                <w:szCs w:val="22"/>
                <w:b w:val="1"/>
                <w:bCs w:val="1"/>
                <w:color w:val="auto"/>
              </w:rPr>
              <w:t>(in thousands)</w:t>
            </w:r>
          </w:p>
        </w:tc>
        <w:tc>
          <w:tcPr>
            <w:tcW w:w="0" w:type="dxa"/>
            <w:vAlign w:val="bottom"/>
          </w:tcPr>
          <w:p>
            <w:pPr>
              <w:spacing w:after="0"/>
              <w:rPr>
                <w:sz w:val="1"/>
                <w:szCs w:val="1"/>
                <w:color w:val="auto"/>
              </w:rPr>
            </w:pPr>
          </w:p>
        </w:tc>
      </w:tr>
      <w:tr>
        <w:trPr>
          <w:trHeight w:val="240"/>
        </w:trPr>
        <w:tc>
          <w:tcPr>
            <w:tcW w:w="7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769,502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718,812</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Short-term investments</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1,223,234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1,299,091</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 net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337,967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251,588</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commissions—current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153,072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146,360</w:t>
            </w:r>
          </w:p>
        </w:tc>
        <w:tc>
          <w:tcPr>
            <w:tcW w:w="0" w:type="dxa"/>
            <w:vAlign w:val="bottom"/>
          </w:tcPr>
          <w:p>
            <w:pPr>
              <w:spacing w:after="0"/>
              <w:rPr>
                <w:sz w:val="1"/>
                <w:szCs w:val="1"/>
                <w:color w:val="auto"/>
              </w:rPr>
            </w:pPr>
          </w:p>
        </w:tc>
      </w:tr>
      <w:tr>
        <w:trPr>
          <w:trHeight w:val="282"/>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105,391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195,669</w:t>
            </w:r>
          </w:p>
        </w:tc>
        <w:tc>
          <w:tcPr>
            <w:tcW w:w="0" w:type="dxa"/>
            <w:vAlign w:val="bottom"/>
          </w:tcPr>
          <w:p>
            <w:pPr>
              <w:spacing w:after="0"/>
              <w:rPr>
                <w:sz w:val="1"/>
                <w:szCs w:val="1"/>
                <w:color w:val="auto"/>
              </w:rPr>
            </w:pPr>
          </w:p>
        </w:tc>
      </w:tr>
      <w:tr>
        <w:trPr>
          <w:trHeight w:val="251"/>
        </w:trPr>
        <w:tc>
          <w:tcPr>
            <w:tcW w:w="796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current assets</w:t>
            </w:r>
          </w:p>
        </w:tc>
        <w:tc>
          <w:tcPr>
            <w:tcW w:w="240" w:type="dxa"/>
            <w:vAlign w:val="bottom"/>
          </w:tcPr>
          <w:p>
            <w:pPr>
              <w:spacing w:after="0"/>
              <w:rPr>
                <w:sz w:val="21"/>
                <w:szCs w:val="21"/>
                <w:color w:val="auto"/>
              </w:rPr>
            </w:pPr>
          </w:p>
        </w:tc>
        <w:tc>
          <w:tcPr>
            <w:tcW w:w="13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2,589,166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2,611,520</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142,814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127,316</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134,526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175,261</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Deferred commissions—non-current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189,221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191,062</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2,033</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185,235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185,235</w:t>
            </w: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Other assets—non-current</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39,617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126,201</w:t>
            </w:r>
          </w:p>
        </w:tc>
        <w:tc>
          <w:tcPr>
            <w:tcW w:w="0" w:type="dxa"/>
            <w:vAlign w:val="bottom"/>
          </w:tcPr>
          <w:p>
            <w:pPr>
              <w:spacing w:after="0"/>
              <w:rPr>
                <w:sz w:val="1"/>
                <w:szCs w:val="1"/>
                <w:color w:val="auto"/>
              </w:rPr>
            </w:pPr>
          </w:p>
        </w:tc>
      </w:tr>
      <w:tr>
        <w:trPr>
          <w:trHeight w:val="265"/>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3,283,194</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3,418,628</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Stockholders’ Deficit</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81,599</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84,382</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compensation and benefits</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230,498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165,336</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Accrued expenses and other current liabilities</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24,187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28,199</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revenue—current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1,054,023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1,154,755</w:t>
            </w:r>
          </w:p>
        </w:tc>
        <w:tc>
          <w:tcPr>
            <w:tcW w:w="0" w:type="dxa"/>
            <w:vAlign w:val="bottom"/>
          </w:tcPr>
          <w:p>
            <w:pPr>
              <w:spacing w:after="0"/>
              <w:rPr>
                <w:sz w:val="1"/>
                <w:szCs w:val="1"/>
                <w:color w:val="auto"/>
              </w:rPr>
            </w:pPr>
          </w:p>
        </w:tc>
      </w:tr>
      <w:tr>
        <w:trPr>
          <w:trHeight w:val="282"/>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liabilities—current</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23,234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37,346</w:t>
            </w:r>
          </w:p>
        </w:tc>
        <w:tc>
          <w:tcPr>
            <w:tcW w:w="0" w:type="dxa"/>
            <w:vAlign w:val="bottom"/>
          </w:tcPr>
          <w:p>
            <w:pPr>
              <w:spacing w:after="0"/>
              <w:rPr>
                <w:sz w:val="1"/>
                <w:szCs w:val="1"/>
                <w:color w:val="auto"/>
              </w:rPr>
            </w:pPr>
          </w:p>
        </w:tc>
      </w:tr>
      <w:tr>
        <w:trPr>
          <w:trHeight w:val="251"/>
        </w:trPr>
        <w:tc>
          <w:tcPr>
            <w:tcW w:w="7960" w:type="dxa"/>
            <w:vAlign w:val="bottom"/>
          </w:tcPr>
          <w:p>
            <w:pPr>
              <w:ind w:left="400"/>
              <w:spacing w:after="0" w:line="251" w:lineRule="exact"/>
              <w:rPr>
                <w:sz w:val="20"/>
                <w:szCs w:val="20"/>
                <w:color w:val="auto"/>
              </w:rPr>
            </w:pPr>
            <w:r>
              <w:rPr>
                <w:rFonts w:ascii="Times New Roman" w:cs="Times New Roman" w:eastAsia="Times New Roman" w:hAnsi="Times New Roman"/>
                <w:sz w:val="22"/>
                <w:szCs w:val="22"/>
                <w:color w:val="auto"/>
              </w:rPr>
              <w:t>Total current liabilities</w:t>
            </w:r>
          </w:p>
        </w:tc>
        <w:tc>
          <w:tcPr>
            <w:tcW w:w="240" w:type="dxa"/>
            <w:vAlign w:val="bottom"/>
          </w:tcPr>
          <w:p>
            <w:pPr>
              <w:spacing w:after="0"/>
              <w:rPr>
                <w:sz w:val="21"/>
                <w:szCs w:val="21"/>
                <w:color w:val="auto"/>
              </w:rPr>
            </w:pPr>
          </w:p>
        </w:tc>
        <w:tc>
          <w:tcPr>
            <w:tcW w:w="13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1,413,541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1,470,018</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Deferred revenue—non-current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1,058,731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1,152,223</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liabilities—non-current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115,754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144,063</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Convertible senior notes, net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1,343,818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1,347,484</w:t>
            </w: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Other liabilities—non-current</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45,870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30,453</w:t>
            </w:r>
          </w:p>
        </w:tc>
        <w:tc>
          <w:tcPr>
            <w:tcW w:w="0" w:type="dxa"/>
            <w:vAlign w:val="bottom"/>
          </w:tcPr>
          <w:p>
            <w:pPr>
              <w:spacing w:after="0"/>
              <w:rPr>
                <w:sz w:val="1"/>
                <w:szCs w:val="1"/>
                <w:color w:val="auto"/>
              </w:rPr>
            </w:pPr>
          </w:p>
        </w:tc>
      </w:tr>
      <w:tr>
        <w:trPr>
          <w:trHeight w:val="265"/>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liabilities</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3,977,714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4,144,241</w:t>
            </w:r>
          </w:p>
        </w:tc>
        <w:tc>
          <w:tcPr>
            <w:tcW w:w="0" w:type="dxa"/>
            <w:vAlign w:val="bottom"/>
          </w:tcPr>
          <w:p>
            <w:pPr>
              <w:spacing w:after="0"/>
              <w:rPr>
                <w:sz w:val="1"/>
                <w:szCs w:val="1"/>
                <w:color w:val="auto"/>
              </w:rPr>
            </w:pPr>
          </w:p>
        </w:tc>
      </w:tr>
      <w:tr>
        <w:trPr>
          <w:trHeight w:val="250"/>
        </w:trPr>
        <w:tc>
          <w:tcPr>
            <w:tcW w:w="79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Stockholders’ deficit:</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Common stock</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4,200,466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4,219,337</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other comprehensive income (loss)</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w:t>
            </w:r>
          </w:p>
        </w:tc>
        <w:tc>
          <w:tcPr>
            <w:tcW w:w="0" w:type="dxa"/>
            <w:vAlign w:val="bottom"/>
          </w:tcPr>
          <w:p>
            <w:pPr>
              <w:spacing w:after="0"/>
              <w:rPr>
                <w:sz w:val="1"/>
                <w:szCs w:val="1"/>
                <w:color w:val="auto"/>
              </w:rPr>
            </w:pPr>
          </w:p>
        </w:tc>
      </w:tr>
      <w:tr>
        <w:trPr>
          <w:trHeight w:val="282"/>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deficit</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(4,895,693)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(4,944,650)</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stockholders’ deficit</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(694,520)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(725,613)</w:t>
            </w:r>
          </w:p>
        </w:tc>
        <w:tc>
          <w:tcPr>
            <w:tcW w:w="0" w:type="dxa"/>
            <w:vAlign w:val="bottom"/>
          </w:tcPr>
          <w:p>
            <w:pPr>
              <w:spacing w:after="0"/>
              <w:rPr>
                <w:sz w:val="1"/>
                <w:szCs w:val="1"/>
                <w:color w:val="auto"/>
              </w:rPr>
            </w:pPr>
          </w:p>
        </w:tc>
      </w:tr>
      <w:tr>
        <w:trPr>
          <w:trHeight w:val="263"/>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stockholders’ deficit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3,283,194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3,418,628</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NUTANIX, INC.</w:t>
      </w:r>
    </w:p>
    <w:p>
      <w:pPr>
        <w:spacing w:after="0" w:line="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80" w:type="dxa"/>
            <w:vAlign w:val="bottom"/>
            <w:gridSpan w:val="7"/>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60" w:type="dxa"/>
            <w:vAlign w:val="bottom"/>
          </w:tcPr>
          <w:p>
            <w:pPr>
              <w:spacing w:after="0"/>
              <w:rPr>
                <w:sz w:val="22"/>
                <w:szCs w:val="22"/>
                <w:color w:val="auto"/>
              </w:rPr>
            </w:pPr>
          </w:p>
        </w:tc>
        <w:tc>
          <w:tcPr>
            <w:tcW w:w="2480" w:type="dxa"/>
            <w:vAlign w:val="bottom"/>
            <w:gridSpan w:val="5"/>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8"/>
              </w:rPr>
              <w:t>Nine Months Ended</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Revenue:</w:t>
            </w:r>
          </w:p>
        </w:tc>
        <w:tc>
          <w:tcPr>
            <w:tcW w:w="260" w:type="dxa"/>
            <w:vAlign w:val="bottom"/>
          </w:tcPr>
          <w:p>
            <w:pPr>
              <w:spacing w:after="0"/>
              <w:rPr>
                <w:sz w:val="24"/>
                <w:szCs w:val="24"/>
                <w:color w:val="auto"/>
              </w:rPr>
            </w:pPr>
          </w:p>
        </w:tc>
        <w:tc>
          <w:tcPr>
            <w:tcW w:w="4500" w:type="dxa"/>
            <w:vAlign w:val="bottom"/>
            <w:gridSpan w:val="12"/>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(in thousands, except per share data)</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Product</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345,479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364,938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1,001,585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1,101,305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Support, maintenance and other services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293,504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338,128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883,075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995,162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Total revenue</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638,983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703,066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1,884,660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2,096,467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revenue:</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280"/>
              <w:spacing w:after="0" w:line="324" w:lineRule="exact"/>
              <w:rPr>
                <w:sz w:val="20"/>
                <w:szCs w:val="20"/>
                <w:color w:val="auto"/>
              </w:rPr>
            </w:pPr>
            <w:r>
              <w:rPr>
                <w:rFonts w:ascii="Times New Roman" w:cs="Times New Roman" w:eastAsia="Times New Roman" w:hAnsi="Times New Roman"/>
                <w:sz w:val="22"/>
                <w:szCs w:val="22"/>
                <w:color w:val="auto"/>
              </w:rPr>
              <w:t xml:space="preserve">Product </w:t>
            </w:r>
            <w:r>
              <w:rPr>
                <w:rFonts w:ascii="Times New Roman" w:cs="Times New Roman" w:eastAsia="Times New Roman" w:hAnsi="Times New Roman"/>
                <w:sz w:val="35"/>
                <w:szCs w:val="35"/>
                <w:color w:val="auto"/>
                <w:vertAlign w:val="superscript"/>
              </w:rPr>
              <w:t>(1)(2)</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23,969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460" w:type="dxa"/>
            <w:vAlign w:val="bottom"/>
          </w:tcPr>
          <w:p>
            <w:pPr>
              <w:ind w:left="280"/>
              <w:spacing w:after="0" w:line="329" w:lineRule="exact"/>
              <w:rPr>
                <w:sz w:val="20"/>
                <w:szCs w:val="20"/>
                <w:color w:val="auto"/>
              </w:rPr>
            </w:pPr>
            <w:r>
              <w:rPr>
                <w:rFonts w:ascii="Times New Roman" w:cs="Times New Roman" w:eastAsia="Times New Roman" w:hAnsi="Times New Roman"/>
                <w:sz w:val="22"/>
                <w:szCs w:val="22"/>
                <w:color w:val="auto"/>
              </w:rPr>
              <w:t xml:space="preserve">Support, maintenance and other services </w:t>
            </w:r>
            <w:r>
              <w:rPr>
                <w:rFonts w:ascii="Times New Roman" w:cs="Times New Roman" w:eastAsia="Times New Roman" w:hAnsi="Times New Roman"/>
                <w:sz w:val="35"/>
                <w:szCs w:val="35"/>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76,215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86,463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226,980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255,240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Total cost of revenue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82,991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92,279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250,949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Gross profit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555,992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610,787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1,633,711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1,825,445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Operating expenses: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280"/>
              <w:spacing w:after="0" w:line="324" w:lineRule="exact"/>
              <w:rPr>
                <w:sz w:val="20"/>
                <w:szCs w:val="20"/>
                <w:color w:val="auto"/>
              </w:rPr>
            </w:pPr>
            <w:r>
              <w:rPr>
                <w:rFonts w:ascii="Times New Roman" w:cs="Times New Roman" w:eastAsia="Times New Roman" w:hAnsi="Times New Roman"/>
                <w:sz w:val="22"/>
                <w:szCs w:val="22"/>
                <w:color w:val="auto"/>
              </w:rPr>
              <w:t xml:space="preserve">Sales and marketing </w:t>
            </w:r>
            <w:r>
              <w:rPr>
                <w:rFonts w:ascii="Times New Roman" w:cs="Times New Roman" w:eastAsia="Times New Roman" w:hAnsi="Times New Roman"/>
                <w:sz w:val="35"/>
                <w:szCs w:val="35"/>
                <w:color w:val="auto"/>
                <w:vertAlign w:val="superscript"/>
              </w:rPr>
              <w:t>(1)(2)</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260,402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283,605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775,185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846,381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280"/>
              <w:spacing w:after="0" w:line="324" w:lineRule="exact"/>
              <w:rPr>
                <w:sz w:val="20"/>
                <w:szCs w:val="20"/>
                <w:color w:val="auto"/>
              </w:rPr>
            </w:pPr>
            <w:r>
              <w:rPr>
                <w:rFonts w:ascii="Times New Roman" w:cs="Times New Roman" w:eastAsia="Times New Roman" w:hAnsi="Times New Roman"/>
                <w:sz w:val="22"/>
                <w:szCs w:val="22"/>
                <w:color w:val="auto"/>
              </w:rPr>
              <w:t xml:space="preserve">Research and development </w:t>
            </w:r>
            <w:r>
              <w:rPr>
                <w:rFonts w:ascii="Times New Roman" w:cs="Times New Roman" w:eastAsia="Times New Roman" w:hAnsi="Times New Roman"/>
                <w:sz w:val="35"/>
                <w:szCs w:val="35"/>
                <w:color w:val="auto"/>
                <w:vertAlign w:val="superscript"/>
              </w:rPr>
              <w:t>(1)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186,413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196,098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543,157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585,839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460" w:type="dxa"/>
            <w:vAlign w:val="bottom"/>
          </w:tcPr>
          <w:p>
            <w:pPr>
              <w:ind w:left="280"/>
              <w:spacing w:after="0" w:line="329" w:lineRule="exact"/>
              <w:rPr>
                <w:sz w:val="20"/>
                <w:szCs w:val="20"/>
                <w:color w:val="auto"/>
              </w:rPr>
            </w:pPr>
            <w:r>
              <w:rPr>
                <w:rFonts w:ascii="Times New Roman" w:cs="Times New Roman" w:eastAsia="Times New Roman" w:hAnsi="Times New Roman"/>
                <w:sz w:val="22"/>
                <w:szCs w:val="22"/>
                <w:color w:val="auto"/>
              </w:rPr>
              <w:t xml:space="preserve">General and administrative </w:t>
            </w:r>
            <w:r>
              <w:rPr>
                <w:rFonts w:ascii="Times New Roman" w:cs="Times New Roman" w:eastAsia="Times New Roman" w:hAnsi="Times New Roman"/>
                <w:sz w:val="35"/>
                <w:szCs w:val="35"/>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60,532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60,575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174,036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189,244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Total operating expenses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507,347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540,278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1,492,378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1,621,464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Income from operations</w:t>
            </w:r>
          </w:p>
        </w:tc>
        <w:tc>
          <w:tcPr>
            <w:tcW w:w="260" w:type="dxa"/>
            <w:vAlign w:val="bottom"/>
          </w:tcPr>
          <w:p>
            <w:pPr>
              <w:spacing w:after="0"/>
              <w:rPr>
                <w:sz w:val="21"/>
                <w:szCs w:val="21"/>
                <w:color w:val="auto"/>
              </w:rPr>
            </w:pPr>
          </w:p>
        </w:tc>
        <w:tc>
          <w:tcPr>
            <w:tcW w:w="10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48,645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70,509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141,333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203,981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income, net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25,172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40,412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4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Income before provision for income taxes</w:t>
            </w:r>
          </w:p>
        </w:tc>
        <w:tc>
          <w:tcPr>
            <w:tcW w:w="26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64,599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81,314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166,505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244,393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9,227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16,789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income</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63,363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72,087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149,716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237,205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line="236" w:lineRule="exact"/>
              <w:rPr>
                <w:sz w:val="20"/>
                <w:szCs w:val="20"/>
                <w:color w:val="auto"/>
              </w:rPr>
            </w:pPr>
            <w:r>
              <w:rPr>
                <w:rFonts w:ascii="Times New Roman" w:cs="Times New Roman" w:eastAsia="Times New Roman" w:hAnsi="Times New Roman"/>
                <w:sz w:val="22"/>
                <w:szCs w:val="22"/>
                <w:color w:val="auto"/>
              </w:rPr>
              <w:t>Net income per share attributable to Class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common stockholders, basic</w:t>
            </w:r>
          </w:p>
        </w:tc>
        <w:tc>
          <w:tcPr>
            <w:tcW w:w="2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line="236" w:lineRule="exact"/>
              <w:rPr>
                <w:sz w:val="20"/>
                <w:szCs w:val="20"/>
                <w:color w:val="auto"/>
              </w:rPr>
            </w:pPr>
            <w:r>
              <w:rPr>
                <w:rFonts w:ascii="Times New Roman" w:cs="Times New Roman" w:eastAsia="Times New Roman" w:hAnsi="Times New Roman"/>
                <w:sz w:val="22"/>
                <w:szCs w:val="22"/>
                <w:color w:val="auto"/>
              </w:rPr>
              <w:t>Net income per share attributable to Class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 common stockholders, diluted</w:t>
            </w:r>
          </w:p>
        </w:tc>
        <w:tc>
          <w:tcPr>
            <w:tcW w:w="2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ind w:left="20"/>
              <w:spacing w:after="0" w:line="236" w:lineRule="exact"/>
              <w:rPr>
                <w:sz w:val="20"/>
                <w:szCs w:val="20"/>
                <w:color w:val="auto"/>
              </w:rPr>
            </w:pPr>
            <w:r>
              <w:rPr>
                <w:rFonts w:ascii="Times New Roman" w:cs="Times New Roman" w:eastAsia="Times New Roman" w:hAnsi="Times New Roman"/>
                <w:sz w:val="22"/>
                <w:szCs w:val="22"/>
                <w:color w:val="auto"/>
              </w:rPr>
              <w:t>Weighted average shares used in computing net</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income per share attributable to Class A</w:t>
            </w:r>
          </w:p>
        </w:tc>
        <w:tc>
          <w:tcPr>
            <w:tcW w:w="26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267,566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265,950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267,081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268,058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stockholders, basic</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line="236" w:lineRule="exact"/>
              <w:rPr>
                <w:sz w:val="20"/>
                <w:szCs w:val="20"/>
                <w:color w:val="auto"/>
              </w:rPr>
            </w:pPr>
            <w:r>
              <w:rPr>
                <w:rFonts w:ascii="Times New Roman" w:cs="Times New Roman" w:eastAsia="Times New Roman" w:hAnsi="Times New Roman"/>
                <w:sz w:val="22"/>
                <w:szCs w:val="22"/>
                <w:color w:val="auto"/>
              </w:rPr>
              <w:t>Weighted average shares used in computing net</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income per share attributable to Class A</w:t>
            </w:r>
          </w:p>
        </w:tc>
        <w:tc>
          <w:tcPr>
            <w:tcW w:w="26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296,804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287,481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292,942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291,992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stockholders, diluted</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__________________________</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  Includes the following stock-based compensation expense: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7"/>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60" w:type="dxa"/>
            <w:vAlign w:val="bottom"/>
          </w:tcPr>
          <w:p>
            <w:pPr>
              <w:spacing w:after="0"/>
              <w:rPr>
                <w:sz w:val="24"/>
                <w:szCs w:val="24"/>
                <w:color w:val="auto"/>
              </w:rPr>
            </w:pPr>
          </w:p>
        </w:tc>
        <w:tc>
          <w:tcPr>
            <w:tcW w:w="2480" w:type="dxa"/>
            <w:vAlign w:val="bottom"/>
            <w:gridSpan w:val="5"/>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8"/>
              </w:rPr>
              <w:t>Nine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0" w:type="dxa"/>
            <w:vAlign w:val="bottom"/>
            <w:gridSpan w:val="7"/>
          </w:tcPr>
          <w:p>
            <w:pPr>
              <w:ind w:left="360"/>
              <w:spacing w:after="0" w:line="249" w:lineRule="exact"/>
              <w:rPr>
                <w:sz w:val="20"/>
                <w:szCs w:val="20"/>
                <w:color w:val="auto"/>
              </w:rPr>
            </w:pPr>
            <w:r>
              <w:rPr>
                <w:rFonts w:ascii="Times New Roman" w:cs="Times New Roman" w:eastAsia="Times New Roman" w:hAnsi="Times New Roman"/>
                <w:sz w:val="22"/>
                <w:szCs w:val="22"/>
                <w:b w:val="1"/>
                <w:bCs w:val="1"/>
                <w:color w:val="auto"/>
              </w:rPr>
              <w:t>(in thousands)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Product cost of revenue</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Support, maintenance and other services cost of revenue</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20,768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Sales and marketing</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132,489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135,363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15,543</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12,431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49,179</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46,427</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Total stock-based compensation expense</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84,242</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82,818</w:t>
            </w: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266,419</w:t>
            </w: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263,142</w:t>
            </w: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Includes the following amortization of intangible assets:</w:t>
      </w:r>
    </w:p>
    <w:p>
      <w:pPr>
        <w:spacing w:after="0" w:line="206" w:lineRule="exact"/>
        <w:rPr>
          <w:sz w:val="20"/>
          <w:szCs w:val="20"/>
          <w:color w:val="auto"/>
        </w:rPr>
      </w:pPr>
    </w:p>
    <w:tbl>
      <w:tblPr>
        <w:tblLayout w:type="fixed"/>
        <w:tblInd w:w="5460" w:type="dxa"/>
        <w:tblCellMar>
          <w:top w:w="0" w:type="dxa"/>
          <w:left w:w="0" w:type="dxa"/>
          <w:bottom w:w="0" w:type="dxa"/>
          <w:right w:w="0" w:type="dxa"/>
        </w:tblCellMar>
      </w:tblPr>
      <w:tr>
        <w:trPr>
          <w:trHeight w:val="253"/>
        </w:trPr>
        <w:tc>
          <w:tcPr>
            <w:tcW w:w="2940" w:type="dxa"/>
            <w:vAlign w:val="bottom"/>
            <w:gridSpan w:val="3"/>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840" w:type="dxa"/>
            <w:vAlign w:val="bottom"/>
            <w:gridSpan w:val="2"/>
          </w:tcPr>
          <w:p>
            <w:pPr>
              <w:ind w:left="44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86"/>
        </w:trPr>
        <w:tc>
          <w:tcPr>
            <w:tcW w:w="900" w:type="dxa"/>
            <w:vAlign w:val="bottom"/>
          </w:tcPr>
          <w:p>
            <w:pPr>
              <w:spacing w:after="0"/>
              <w:rPr>
                <w:sz w:val="24"/>
                <w:szCs w:val="24"/>
                <w:color w:val="auto"/>
              </w:rPr>
            </w:pPr>
          </w:p>
        </w:tc>
        <w:tc>
          <w:tcPr>
            <w:tcW w:w="2040" w:type="dxa"/>
            <w:vAlign w:val="bottom"/>
            <w:gridSpan w:val="2"/>
          </w:tcPr>
          <w:p>
            <w:pPr>
              <w:jc w:val="center"/>
              <w:ind w:right="1100"/>
              <w:spacing w:after="0"/>
              <w:rPr>
                <w:sz w:val="20"/>
                <w:szCs w:val="20"/>
                <w:color w:val="auto"/>
              </w:rPr>
            </w:pPr>
            <w:r>
              <w:rPr>
                <w:rFonts w:ascii="Times New Roman" w:cs="Times New Roman" w:eastAsia="Times New Roman" w:hAnsi="Times New Roman"/>
                <w:sz w:val="22"/>
                <w:szCs w:val="22"/>
                <w:b w:val="1"/>
                <w:bCs w:val="1"/>
                <w:color w:val="auto"/>
                <w:w w:val="98"/>
              </w:rPr>
              <w:t>April 30,</w:t>
            </w:r>
          </w:p>
        </w:tc>
        <w:tc>
          <w:tcPr>
            <w:tcW w:w="900" w:type="dxa"/>
            <w:vAlign w:val="bottom"/>
          </w:tcPr>
          <w:p>
            <w:pPr>
              <w:spacing w:after="0"/>
              <w:rPr>
                <w:sz w:val="24"/>
                <w:szCs w:val="24"/>
                <w:color w:val="auto"/>
              </w:rPr>
            </w:pPr>
          </w:p>
        </w:tc>
        <w:tc>
          <w:tcPr>
            <w:tcW w:w="1940" w:type="dxa"/>
            <w:vAlign w:val="bottom"/>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April 30,</w:t>
            </w:r>
          </w:p>
        </w:tc>
      </w:tr>
      <w:tr>
        <w:trPr>
          <w:trHeight w:val="265"/>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1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2025</w:t>
            </w:r>
          </w:p>
        </w:tc>
        <w:tc>
          <w:tcPr>
            <w:tcW w:w="1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r>
    </w:tbl>
    <w:p>
      <w:pPr>
        <w:sectPr>
          <w:pgSz w:w="11900" w:h="16838" w:orient="portrait"/>
          <w:cols w:equalWidth="0" w:num="1">
            <w:col w:w="11240"/>
          </w:cols>
          <w:pgMar w:left="320" w:top="851" w:right="339" w:bottom="0" w:gutter="0" w:footer="0" w:header="0"/>
        </w:sectPr>
      </w:pPr>
    </w:p>
    <w:bookmarkStart w:id="8" w:name="page9"/>
    <w:bookmarkEnd w:id="8"/>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(in thousands)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Product cost of revenue</w:t>
            </w:r>
          </w:p>
        </w:tc>
        <w:tc>
          <w:tcPr>
            <w:tcW w:w="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546</w:t>
            </w:r>
          </w:p>
        </w:tc>
        <w:tc>
          <w:tcPr>
            <w:tcW w:w="120" w:type="dxa"/>
            <w:vAlign w:val="bottom"/>
          </w:tcPr>
          <w:p>
            <w:pPr>
              <w:spacing w:after="0"/>
              <w:rPr>
                <w:sz w:val="23"/>
                <w:szCs w:val="23"/>
                <w:color w:val="auto"/>
              </w:rPr>
            </w:pP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w:t>
            </w:r>
          </w:p>
        </w:tc>
        <w:tc>
          <w:tcPr>
            <w:tcW w:w="100" w:type="dxa"/>
            <w:vAlign w:val="bottom"/>
          </w:tcPr>
          <w:p>
            <w:pPr>
              <w:spacing w:after="0"/>
              <w:rPr>
                <w:sz w:val="23"/>
                <w:szCs w:val="23"/>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2,080</w:t>
            </w:r>
          </w:p>
        </w:tc>
        <w:tc>
          <w:tcPr>
            <w:tcW w:w="120" w:type="dxa"/>
            <w:vAlign w:val="bottom"/>
          </w:tcPr>
          <w:p>
            <w:pPr>
              <w:spacing w:after="0"/>
              <w:rPr>
                <w:sz w:val="23"/>
                <w:szCs w:val="23"/>
                <w:color w:val="auto"/>
              </w:rPr>
            </w:pPr>
          </w:p>
        </w:tc>
        <w:tc>
          <w:tcPr>
            <w:tcW w:w="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318</w:t>
            </w:r>
          </w:p>
        </w:tc>
      </w:tr>
      <w:tr>
        <w:trPr>
          <w:trHeight w:val="282"/>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Sales and marketing</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88</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265</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264</w:t>
            </w:r>
          </w:p>
        </w:tc>
      </w:tr>
      <w:tr>
        <w:trPr>
          <w:trHeight w:val="265"/>
        </w:trPr>
        <w:tc>
          <w:tcPr>
            <w:tcW w:w="54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amortization of intangible assets</w:t>
            </w: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635</w:t>
            </w:r>
          </w:p>
        </w:tc>
        <w:tc>
          <w:tcPr>
            <w:tcW w:w="120" w:type="dxa"/>
            <w:vAlign w:val="bottom"/>
          </w:tcPr>
          <w:p>
            <w:pPr>
              <w:spacing w:after="0"/>
              <w:rPr>
                <w:sz w:val="23"/>
                <w:szCs w:val="23"/>
                <w:color w:val="auto"/>
              </w:rPr>
            </w:pPr>
          </w:p>
        </w:tc>
        <w:tc>
          <w:tcPr>
            <w:tcW w:w="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194</w:t>
            </w:r>
          </w:p>
        </w:tc>
        <w:tc>
          <w:tcPr>
            <w:tcW w:w="100" w:type="dxa"/>
            <w:vAlign w:val="bottom"/>
          </w:tcPr>
          <w:p>
            <w:pPr>
              <w:spacing w:after="0"/>
              <w:rPr>
                <w:sz w:val="23"/>
                <w:szCs w:val="23"/>
                <w:color w:val="auto"/>
              </w:rPr>
            </w:pPr>
          </w:p>
        </w:tc>
        <w:tc>
          <w:tcPr>
            <w:tcW w:w="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2,345</w:t>
            </w:r>
          </w:p>
        </w:tc>
        <w:tc>
          <w:tcPr>
            <w:tcW w:w="120" w:type="dxa"/>
            <w:vAlign w:val="bottom"/>
          </w:tcPr>
          <w:p>
            <w:pPr>
              <w:spacing w:after="0"/>
              <w:rPr>
                <w:sz w:val="23"/>
                <w:szCs w:val="23"/>
                <w:color w:val="auto"/>
              </w:rPr>
            </w:pP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582</w:t>
            </w:r>
          </w:p>
        </w:tc>
      </w:tr>
      <w:tr>
        <w:trPr>
          <w:trHeight w:val="21"/>
        </w:trPr>
        <w:tc>
          <w:tcPr>
            <w:tcW w:w="5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NUTANIX, INC.</w:t>
      </w:r>
    </w:p>
    <w:p>
      <w:pPr>
        <w:spacing w:after="0" w:line="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5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22"/>
          <w:szCs w:val="22"/>
          <w:b w:val="1"/>
          <w:bCs w:val="1"/>
          <w:color w:val="auto"/>
        </w:rPr>
        <w:t>Nine Months Ended</w:t>
      </w:r>
    </w:p>
    <w:p>
      <w:pPr>
        <w:spacing w:after="0" w:line="18"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22"/>
          <w:szCs w:val="22"/>
          <w:b w:val="1"/>
          <w:bCs w:val="1"/>
          <w:color w:val="auto"/>
        </w:rPr>
        <w:t>April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96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flows from operating activities:</w:t>
            </w:r>
          </w:p>
        </w:tc>
        <w:tc>
          <w:tcPr>
            <w:tcW w:w="320" w:type="dxa"/>
            <w:vAlign w:val="bottom"/>
          </w:tcPr>
          <w:p>
            <w:pPr>
              <w:spacing w:after="0"/>
              <w:rPr>
                <w:sz w:val="24"/>
                <w:szCs w:val="24"/>
                <w:color w:val="auto"/>
              </w:rPr>
            </w:pPr>
          </w:p>
        </w:tc>
        <w:tc>
          <w:tcPr>
            <w:tcW w:w="2840" w:type="dxa"/>
            <w:vAlign w:val="bottom"/>
            <w:gridSpan w:val="4"/>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(in thousands)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9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income</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149,716</w:t>
            </w:r>
          </w:p>
        </w:tc>
        <w:tc>
          <w:tcPr>
            <w:tcW w:w="220" w:type="dxa"/>
            <w:vAlign w:val="bottom"/>
          </w:tcPr>
          <w:p>
            <w:pPr>
              <w:spacing w:after="0"/>
              <w:rPr>
                <w:sz w:val="23"/>
                <w:szCs w:val="23"/>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237,205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Adjustments to reconcile net income to net cash provided by operating activities: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54,451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53,581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266,419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263,142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 of debt discount and issuance costs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2,519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Inducement expense from partial repurchase of the 2027 Notes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11,347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cost, net of accretion</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21,355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25,497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(4,690)</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(7,935)</w:t>
            </w:r>
          </w:p>
        </w:tc>
        <w:tc>
          <w:tcPr>
            <w:tcW w:w="0" w:type="dxa"/>
            <w:vAlign w:val="bottom"/>
          </w:tcPr>
          <w:p>
            <w:pPr>
              <w:spacing w:after="0"/>
              <w:rPr>
                <w:sz w:val="1"/>
                <w:szCs w:val="1"/>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Changes in operating assets and liabilities: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Accounts receivable, net</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(14,084)</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(1,506)</w:t>
            </w: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Deferred commissions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31,339</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4,870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(10,589)</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(92,429)</w:t>
            </w: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Accounts payable</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Accrued compensation and benefits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(10,528)</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(53,410)</w:t>
            </w: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Accrued expenses and other liabilities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(5,601)</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(9,324)</w:t>
            </w:r>
          </w:p>
        </w:tc>
        <w:tc>
          <w:tcPr>
            <w:tcW w:w="0" w:type="dxa"/>
            <w:vAlign w:val="bottom"/>
          </w:tcPr>
          <w:p>
            <w:pPr>
              <w:spacing w:after="0"/>
              <w:rPr>
                <w:sz w:val="1"/>
                <w:szCs w:val="1"/>
                <w:color w:val="auto"/>
              </w:rPr>
            </w:pPr>
          </w:p>
        </w:tc>
      </w:tr>
      <w:tr>
        <w:trPr>
          <w:trHeight w:val="270"/>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Operating leases, net</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(23,640)</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(23,812)</w:t>
            </w:r>
          </w:p>
        </w:tc>
        <w:tc>
          <w:tcPr>
            <w:tcW w:w="0" w:type="dxa"/>
            <w:vAlign w:val="bottom"/>
          </w:tcPr>
          <w:p>
            <w:pPr>
              <w:spacing w:after="0"/>
              <w:rPr>
                <w:sz w:val="1"/>
                <w:szCs w:val="1"/>
                <w:color w:val="auto"/>
              </w:rPr>
            </w:pPr>
          </w:p>
        </w:tc>
      </w:tr>
      <w:tr>
        <w:trPr>
          <w:trHeight w:val="282"/>
        </w:trPr>
        <w:tc>
          <w:tcPr>
            <w:tcW w:w="79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Deferred revenue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130,139</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198,583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601,927</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601,675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flows from investing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Maturities of investments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272,846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607,475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(941,406)</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(679,600)</w:t>
            </w: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of investments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2,011</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property and equipment</w:t>
            </w:r>
          </w:p>
        </w:tc>
        <w:tc>
          <w:tcPr>
            <w:tcW w:w="3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(59,533)</w:t>
            </w: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(38,570)</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3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(726,082)</w:t>
            </w:r>
          </w:p>
        </w:tc>
        <w:tc>
          <w:tcPr>
            <w:tcW w:w="2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(107,945)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flows from financing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Proceeds from sales of shares through employee equity incentive plans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68,525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Taxes paid related to net share settlement of equity awards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(212,919)</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(169,402)</w:t>
            </w: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Proceeds from the issuance of convertible notes, net of issuance costs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848,010</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of third-party debt issuance costs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(3,448)</w:t>
            </w: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Partial repurchase of the 2027 Notes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(95,453)</w:t>
            </w: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Payment of revolver issuance costs</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(2,794)</w:t>
            </w:r>
          </w:p>
        </w:tc>
        <w:tc>
          <w:tcPr>
            <w:tcW w:w="3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Repurchases of common stock</w:t>
            </w:r>
          </w:p>
        </w:tc>
        <w:tc>
          <w:tcPr>
            <w:tcW w:w="3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(257,859)</w:t>
            </w:r>
          </w:p>
        </w:tc>
        <w:tc>
          <w:tcPr>
            <w:tcW w:w="3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(433,240)</w:t>
            </w:r>
          </w:p>
        </w:tc>
        <w:tc>
          <w:tcPr>
            <w:tcW w:w="0" w:type="dxa"/>
            <w:vAlign w:val="bottom"/>
          </w:tcPr>
          <w:p>
            <w:pPr>
              <w:spacing w:after="0"/>
              <w:rPr>
                <w:sz w:val="1"/>
                <w:szCs w:val="1"/>
                <w:color w:val="auto"/>
              </w:rPr>
            </w:pPr>
          </w:p>
        </w:tc>
      </w:tr>
      <w:tr>
        <w:trPr>
          <w:trHeight w:val="282"/>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financing activities, net</w:t>
            </w:r>
          </w:p>
        </w:tc>
        <w:tc>
          <w:tcPr>
            <w:tcW w:w="3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(2,943)</w:t>
            </w: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(2,637)</w:t>
            </w:r>
          </w:p>
        </w:tc>
        <w:tc>
          <w:tcPr>
            <w:tcW w:w="0" w:type="dxa"/>
            <w:vAlign w:val="bottom"/>
          </w:tcPr>
          <w:p>
            <w:pPr>
              <w:spacing w:after="0"/>
              <w:rPr>
                <w:sz w:val="1"/>
                <w:szCs w:val="1"/>
                <w:color w:val="auto"/>
              </w:rPr>
            </w:pP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3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341,119</w:t>
            </w:r>
          </w:p>
        </w:tc>
        <w:tc>
          <w:tcPr>
            <w:tcW w:w="22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(543,832)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increase (decrease) in cash, cash equivalents and restricted cash</w:t>
            </w:r>
          </w:p>
        </w:tc>
        <w:tc>
          <w:tcPr>
            <w:tcW w:w="32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216,964</w:t>
            </w:r>
          </w:p>
        </w:tc>
        <w:tc>
          <w:tcPr>
            <w:tcW w:w="220" w:type="dxa"/>
            <w:vAlign w:val="bottom"/>
          </w:tcPr>
          <w:p>
            <w:pPr>
              <w:spacing w:after="0"/>
              <w:rPr>
                <w:sz w:val="21"/>
                <w:szCs w:val="21"/>
                <w:color w:val="auto"/>
              </w:rPr>
            </w:pPr>
          </w:p>
        </w:tc>
        <w:tc>
          <w:tcPr>
            <w:tcW w:w="32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(50,102)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restricted cash—beginning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655,662</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769,517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cash equivalents and restricted cash—end of period</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872,626</w:t>
            </w:r>
          </w:p>
        </w:tc>
        <w:tc>
          <w:tcPr>
            <w:tcW w:w="220" w:type="dxa"/>
            <w:vAlign w:val="bottom"/>
          </w:tcPr>
          <w:p>
            <w:pPr>
              <w:spacing w:after="0"/>
              <w:rPr>
                <w:sz w:val="23"/>
                <w:szCs w:val="23"/>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719,415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line="331" w:lineRule="exact"/>
              <w:rPr>
                <w:sz w:val="20"/>
                <w:szCs w:val="20"/>
                <w:color w:val="auto"/>
              </w:rPr>
            </w:pPr>
            <w:r>
              <w:rPr>
                <w:rFonts w:ascii="Times New Roman" w:cs="Times New Roman" w:eastAsia="Times New Roman" w:hAnsi="Times New Roman"/>
                <w:sz w:val="22"/>
                <w:szCs w:val="22"/>
                <w:color w:val="auto"/>
              </w:rPr>
              <w:t xml:space="preserve">Restricted cash </w:t>
            </w:r>
            <w:r>
              <w:rPr>
                <w:rFonts w:ascii="Times New Roman" w:cs="Times New Roman" w:eastAsia="Times New Roman" w:hAnsi="Times New Roman"/>
                <w:sz w:val="35"/>
                <w:szCs w:val="35"/>
                <w:color w:val="auto"/>
                <w:vertAlign w:val="superscript"/>
              </w:rPr>
              <w:t>(1)</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960" w:type="dxa"/>
            <w:vAlign w:val="bottom"/>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equivalents—end of period</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872,599</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718,812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9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 paid for income taxes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25,550</w:t>
            </w:r>
          </w:p>
        </w:tc>
        <w:tc>
          <w:tcPr>
            <w:tcW w:w="2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Supplemental disclosures of non-cash investing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financing information:</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9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property and equipment included in accounts payable and</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1,186</w:t>
            </w:r>
          </w:p>
        </w:tc>
        <w:tc>
          <w:tcPr>
            <w:tcW w:w="22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9" w:orient="portrait"/>
          <w:cols w:equalWidth="0" w:num="1">
            <w:col w:w="11220"/>
          </w:cols>
          <w:pgMar w:left="340" w:top="108" w:right="339" w:bottom="0" w:gutter="0" w:footer="0" w:header="0"/>
        </w:sectPr>
      </w:pPr>
    </w:p>
    <w:bookmarkStart w:id="9" w:name="page10"/>
    <w:bookmarkEnd w:id="9"/>
    <w:p>
      <w:pPr>
        <w:spacing w:after="0" w:line="78" w:lineRule="exact"/>
        <w:rPr>
          <w:sz w:val="20"/>
          <w:szCs w:val="20"/>
          <w:color w:val="auto"/>
        </w:rPr>
      </w:pPr>
    </w:p>
    <w:tbl>
      <w:tblPr>
        <w:tblLayout w:type="fixed"/>
        <w:tblInd w:w="220" w:type="dxa"/>
        <w:tblCellMar>
          <w:top w:w="0" w:type="dxa"/>
          <w:left w:w="0" w:type="dxa"/>
          <w:bottom w:w="0" w:type="dxa"/>
          <w:right w:w="0" w:type="dxa"/>
        </w:tblCellMar>
      </w:tblPr>
      <w:tr>
        <w:trPr>
          <w:trHeight w:val="271"/>
        </w:trPr>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accrued and other liabilities</w:t>
            </w:r>
          </w:p>
        </w:tc>
        <w:tc>
          <w:tcPr>
            <w:tcW w:w="1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6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Unpaid taxes related to net share settlement of equity awards included</w:t>
            </w: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in accrued expenses and other liabilities</w:t>
            </w:r>
          </w:p>
        </w:tc>
        <w:tc>
          <w:tcPr>
            <w:tcW w:w="14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2,554</w:t>
            </w:r>
          </w:p>
        </w:tc>
        <w:tc>
          <w:tcPr>
            <w:tcW w:w="6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1,672</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ind w:right="540" w:firstLine="8"/>
        <w:spacing w:after="0" w:line="237" w:lineRule="auto"/>
        <w:tabs>
          <w:tab w:leader="none" w:pos="4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Included within prepaid expenses and other current assets and other assets—non-current in the condensed consolidated balance sheets.</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Disaggregation of Revenue</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480" w:type="dxa"/>
            <w:vAlign w:val="bottom"/>
            <w:gridSpan w:val="4"/>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87"/>
        </w:trPr>
        <w:tc>
          <w:tcPr>
            <w:tcW w:w="5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0" w:type="dxa"/>
            <w:vAlign w:val="bottom"/>
          </w:tcPr>
          <w:p>
            <w:pPr>
              <w:spacing w:after="0"/>
              <w:rPr>
                <w:sz w:val="1"/>
                <w:szCs w:val="1"/>
                <w:color w:val="auto"/>
              </w:rPr>
            </w:pPr>
          </w:p>
        </w:tc>
      </w:tr>
      <w:tr>
        <w:trPr>
          <w:trHeight w:val="280"/>
        </w:trPr>
        <w:tc>
          <w:tcPr>
            <w:tcW w:w="54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Disaggregation of revenue: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22"/>
                <w:szCs w:val="22"/>
                <w:b w:val="1"/>
                <w:bCs w:val="1"/>
                <w:color w:val="auto"/>
              </w:rPr>
              <w:t>(in thousands)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Subscription revenue</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609,663</w:t>
            </w:r>
          </w:p>
        </w:tc>
        <w:tc>
          <w:tcPr>
            <w:tcW w:w="22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664,792</w:t>
            </w:r>
          </w:p>
        </w:tc>
        <w:tc>
          <w:tcPr>
            <w:tcW w:w="2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1,794,777</w:t>
            </w:r>
          </w:p>
        </w:tc>
        <w:tc>
          <w:tcPr>
            <w:tcW w:w="220" w:type="dxa"/>
            <w:vAlign w:val="bottom"/>
          </w:tcPr>
          <w:p>
            <w:pPr>
              <w:spacing w:after="0"/>
              <w:rPr>
                <w:sz w:val="24"/>
                <w:szCs w:val="24"/>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1,993,163</w:t>
            </w:r>
          </w:p>
        </w:tc>
        <w:tc>
          <w:tcPr>
            <w:tcW w:w="0" w:type="dxa"/>
            <w:vAlign w:val="bottom"/>
          </w:tcPr>
          <w:p>
            <w:pPr>
              <w:spacing w:after="0"/>
              <w:rPr>
                <w:sz w:val="1"/>
                <w:szCs w:val="1"/>
                <w:color w:val="auto"/>
              </w:rPr>
            </w:pPr>
          </w:p>
        </w:tc>
      </w:tr>
      <w:tr>
        <w:trPr>
          <w:trHeight w:val="329"/>
        </w:trPr>
        <w:tc>
          <w:tcPr>
            <w:tcW w:w="5440" w:type="dxa"/>
            <w:vAlign w:val="bottom"/>
          </w:tcPr>
          <w:p>
            <w:pPr>
              <w:spacing w:after="0" w:line="329" w:lineRule="exact"/>
              <w:rPr>
                <w:sz w:val="20"/>
                <w:szCs w:val="20"/>
                <w:color w:val="auto"/>
              </w:rPr>
            </w:pPr>
            <w:r>
              <w:rPr>
                <w:rFonts w:ascii="Times New Roman" w:cs="Times New Roman" w:eastAsia="Times New Roman" w:hAnsi="Times New Roman"/>
                <w:sz w:val="22"/>
                <w:szCs w:val="22"/>
                <w:color w:val="auto"/>
              </w:rPr>
              <w:t xml:space="preserve">Professional services and other revenue </w:t>
            </w:r>
            <w:r>
              <w:rPr>
                <w:rFonts w:ascii="Times New Roman" w:cs="Times New Roman" w:eastAsia="Times New Roman" w:hAnsi="Times New Roman"/>
                <w:sz w:val="35"/>
                <w:szCs w:val="35"/>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29,320</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38,274</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89,883</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103,304</w:t>
            </w:r>
          </w:p>
        </w:tc>
        <w:tc>
          <w:tcPr>
            <w:tcW w:w="0" w:type="dxa"/>
            <w:vAlign w:val="bottom"/>
          </w:tcPr>
          <w:p>
            <w:pPr>
              <w:spacing w:after="0"/>
              <w:rPr>
                <w:sz w:val="1"/>
                <w:szCs w:val="1"/>
                <w:color w:val="auto"/>
              </w:rPr>
            </w:pPr>
          </w:p>
        </w:tc>
      </w:tr>
      <w:tr>
        <w:trPr>
          <w:trHeight w:val="263"/>
        </w:trPr>
        <w:tc>
          <w:tcPr>
            <w:tcW w:w="54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revenue</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638,983</w:t>
            </w:r>
          </w:p>
        </w:tc>
        <w:tc>
          <w:tcPr>
            <w:tcW w:w="2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703,066</w:t>
            </w:r>
          </w:p>
        </w:tc>
        <w:tc>
          <w:tcPr>
            <w:tcW w:w="22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1,884,660</w:t>
            </w:r>
          </w:p>
        </w:tc>
        <w:tc>
          <w:tcPr>
            <w:tcW w:w="2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9"/>
              </w:rPr>
              <w:t>2,096,467</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14" w:lineRule="exact"/>
        <w:rPr>
          <w:sz w:val="20"/>
          <w:szCs w:val="20"/>
          <w:color w:val="auto"/>
        </w:rPr>
      </w:pPr>
    </w:p>
    <w:p>
      <w:pPr>
        <w:ind w:right="220" w:firstLine="8"/>
        <w:spacing w:after="0" w:line="237" w:lineRule="auto"/>
        <w:tabs>
          <w:tab w:leader="none" w:pos="4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fiscal 2026, these amounts were presented as separate line items, Professional services and Other non-subscription product. Prior period amounts have been updated to conform to the current period presentation.</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Annual Recurring Revenue</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5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22"/>
          <w:szCs w:val="22"/>
          <w:b w:val="1"/>
          <w:bCs w:val="1"/>
          <w:color w:val="auto"/>
        </w:rPr>
        <w:t>As of April 30,</w:t>
      </w:r>
    </w:p>
    <w:p>
      <w:pPr>
        <w:spacing w:after="0" w:line="33" w:lineRule="exact"/>
        <w:rPr>
          <w:sz w:val="20"/>
          <w:szCs w:val="20"/>
          <w:color w:val="auto"/>
        </w:rPr>
      </w:pPr>
    </w:p>
    <w:p>
      <w:pPr>
        <w:ind w:left="8500"/>
        <w:spacing w:after="0"/>
        <w:tabs>
          <w:tab w:leader="none" w:pos="10160" w:val="left"/>
        </w:tabs>
        <w:rPr>
          <w:sz w:val="20"/>
          <w:szCs w:val="20"/>
          <w:color w:val="auto"/>
        </w:rPr>
      </w:pPr>
      <w:r>
        <w:rPr>
          <w:rFonts w:ascii="Times New Roman" w:cs="Times New Roman" w:eastAsia="Times New Roman" w:hAnsi="Times New Roman"/>
          <w:sz w:val="22"/>
          <w:szCs w:val="22"/>
          <w:b w:val="1"/>
          <w:bCs w:val="1"/>
          <w:color w:val="auto"/>
        </w:rPr>
        <w:t>2025</w:t>
      </w:r>
      <w:r>
        <w:rPr>
          <w:sz w:val="20"/>
          <w:szCs w:val="20"/>
          <w:color w:val="auto"/>
        </w:rPr>
        <w:tab/>
      </w:r>
      <w:r>
        <w:rPr>
          <w:rFonts w:ascii="Times New Roman" w:cs="Times New Roman" w:eastAsia="Times New Roman" w:hAnsi="Times New Roman"/>
          <w:sz w:val="22"/>
          <w:szCs w:val="22"/>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-158750</wp:posOffset>
            </wp:positionV>
            <wp:extent cx="207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-158750</wp:posOffset>
            </wp:positionV>
            <wp:extent cx="2074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475"/>
        </w:trPr>
        <w:tc>
          <w:tcPr>
            <w:tcW w:w="5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Annual Recurring Revenue (ARR) </w:t>
            </w:r>
            <w:r>
              <w:rPr>
                <w:rFonts w:ascii="Times New Roman" w:cs="Times New Roman" w:eastAsia="Times New Roman" w:hAnsi="Times New Roman"/>
                <w:sz w:val="35"/>
                <w:szCs w:val="35"/>
                <w:color w:val="auto"/>
                <w:vertAlign w:val="superscript"/>
              </w:rPr>
              <w:t>(1)</w:t>
            </w:r>
          </w:p>
        </w:tc>
        <w:tc>
          <w:tcPr>
            <w:tcW w:w="27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2,119,028</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2,434,939</w:t>
            </w:r>
          </w:p>
        </w:tc>
      </w:tr>
      <w:tr>
        <w:trPr>
          <w:trHeight w:val="306"/>
        </w:trPr>
        <w:tc>
          <w:tcPr>
            <w:tcW w:w="564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w:t>
            </w:r>
          </w:p>
        </w:tc>
        <w:tc>
          <w:tcPr>
            <w:tcW w:w="2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right="20" w:firstLine="8"/>
        <w:spacing w:after="0" w:line="235" w:lineRule="auto"/>
        <w:tabs>
          <w:tab w:leader="none" w:pos="41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with the first quarter of fiscal 2026, our methodology for calculating ARR was updated to align more closely with the timing of when licenses are made available to customers. Prior period amounts have been updated to conform to current quarter methodology.</w:t>
      </w:r>
    </w:p>
    <w:p>
      <w:pPr>
        <w:spacing w:after="0" w:line="1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Remaining Performance Obligations</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5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22"/>
          <w:szCs w:val="22"/>
          <w:b w:val="1"/>
          <w:bCs w:val="1"/>
          <w:color w:val="auto"/>
        </w:rPr>
        <w:t>As of April 30,</w:t>
      </w:r>
    </w:p>
    <w:p>
      <w:pPr>
        <w:spacing w:after="0" w:line="33" w:lineRule="exact"/>
        <w:rPr>
          <w:sz w:val="20"/>
          <w:szCs w:val="20"/>
          <w:color w:val="auto"/>
        </w:rPr>
      </w:pPr>
    </w:p>
    <w:p>
      <w:pPr>
        <w:ind w:left="8500"/>
        <w:spacing w:after="0"/>
        <w:tabs>
          <w:tab w:leader="none" w:pos="10160" w:val="left"/>
        </w:tabs>
        <w:rPr>
          <w:sz w:val="20"/>
          <w:szCs w:val="20"/>
          <w:color w:val="auto"/>
        </w:rPr>
      </w:pPr>
      <w:r>
        <w:rPr>
          <w:rFonts w:ascii="Times New Roman" w:cs="Times New Roman" w:eastAsia="Times New Roman" w:hAnsi="Times New Roman"/>
          <w:sz w:val="22"/>
          <w:szCs w:val="22"/>
          <w:b w:val="1"/>
          <w:bCs w:val="1"/>
          <w:color w:val="auto"/>
        </w:rPr>
        <w:t>2025</w:t>
      </w:r>
      <w:r>
        <w:rPr>
          <w:sz w:val="20"/>
          <w:szCs w:val="20"/>
          <w:color w:val="auto"/>
        </w:rPr>
        <w:tab/>
      </w:r>
      <w:r>
        <w:rPr>
          <w:rFonts w:ascii="Times New Roman" w:cs="Times New Roman" w:eastAsia="Times New Roman" w:hAnsi="Times New Roman"/>
          <w:sz w:val="22"/>
          <w:szCs w:val="22"/>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-158750</wp:posOffset>
            </wp:positionV>
            <wp:extent cx="2005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-158750</wp:posOffset>
            </wp:positionV>
            <wp:extent cx="20059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Remaining performance obligations: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1,200,538</w:t>
            </w:r>
          </w:p>
        </w:tc>
        <w:tc>
          <w:tcPr>
            <w:tcW w:w="2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1,504,035</w:t>
            </w:r>
          </w:p>
        </w:tc>
      </w:tr>
      <w:tr>
        <w:trPr>
          <w:trHeight w:val="270"/>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13-36 months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920,653</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1,192,484</w:t>
            </w:r>
          </w:p>
        </w:tc>
      </w:tr>
      <w:tr>
        <w:trPr>
          <w:trHeight w:val="282"/>
        </w:trPr>
        <w:tc>
          <w:tcPr>
            <w:tcW w:w="79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Thereafter</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305,548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381,271</w:t>
            </w:r>
          </w:p>
        </w:tc>
      </w:tr>
      <w:tr>
        <w:trPr>
          <w:trHeight w:val="265"/>
        </w:trPr>
        <w:tc>
          <w:tcPr>
            <w:tcW w:w="79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w:t>
            </w: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2,426,739</w:t>
            </w:r>
          </w:p>
        </w:tc>
        <w:tc>
          <w:tcPr>
            <w:tcW w:w="22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3,077,790</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Reconciliation of GAAP to Non-GAAP Profit Measures</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Non-</w:t>
            </w:r>
          </w:p>
        </w:tc>
      </w:tr>
      <w:tr>
        <w:trPr>
          <w:trHeight w:val="286"/>
        </w:trPr>
        <w:tc>
          <w:tcPr>
            <w:tcW w:w="3220" w:type="dxa"/>
            <w:vAlign w:val="bottom"/>
          </w:tcPr>
          <w:p>
            <w:pPr>
              <w:spacing w:after="0"/>
              <w:rPr>
                <w:sz w:val="24"/>
                <w:szCs w:val="24"/>
                <w:color w:val="auto"/>
              </w:rPr>
            </w:pPr>
          </w:p>
        </w:tc>
        <w:tc>
          <w:tcPr>
            <w:tcW w:w="118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9"/>
              </w:rPr>
              <w:t>GAAP</w:t>
            </w:r>
          </w:p>
        </w:tc>
        <w:tc>
          <w:tcPr>
            <w:tcW w:w="10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Non-GAAP Adjustments</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GAAP</w:t>
            </w:r>
          </w:p>
        </w:tc>
      </w:tr>
      <w:tr>
        <w:trPr>
          <w:trHeight w:val="207"/>
        </w:trPr>
        <w:tc>
          <w:tcPr>
            <w:tcW w:w="3220" w:type="dxa"/>
            <w:vAlign w:val="bottom"/>
          </w:tcPr>
          <w:p>
            <w:pPr>
              <w:spacing w:after="0"/>
              <w:rPr>
                <w:sz w:val="17"/>
                <w:szCs w:val="17"/>
                <w:color w:val="auto"/>
              </w:rPr>
            </w:pPr>
          </w:p>
        </w:tc>
        <w:tc>
          <w:tcPr>
            <w:tcW w:w="1180" w:type="dxa"/>
            <w:vAlign w:val="bottom"/>
          </w:tcPr>
          <w:p>
            <w:pPr>
              <w:jc w:val="center"/>
              <w:ind w:right="212"/>
              <w:spacing w:after="0" w:line="206" w:lineRule="exact"/>
              <w:rPr>
                <w:sz w:val="20"/>
                <w:szCs w:val="20"/>
                <w:color w:val="auto"/>
              </w:rPr>
            </w:pPr>
            <w:r>
              <w:rPr>
                <w:rFonts w:ascii="Times New Roman" w:cs="Times New Roman" w:eastAsia="Times New Roman" w:hAnsi="Times New Roman"/>
                <w:sz w:val="22"/>
                <w:szCs w:val="22"/>
                <w:b w:val="1"/>
                <w:bCs w:val="1"/>
                <w:color w:val="auto"/>
                <w:w w:val="95"/>
              </w:rPr>
              <w:t>Three</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center"/>
              <w:ind w:right="12"/>
              <w:spacing w:after="0" w:line="206" w:lineRule="exact"/>
              <w:rPr>
                <w:sz w:val="20"/>
                <w:szCs w:val="20"/>
                <w:color w:val="auto"/>
              </w:rPr>
            </w:pPr>
            <w:r>
              <w:rPr>
                <w:rFonts w:ascii="Times New Roman" w:cs="Times New Roman" w:eastAsia="Times New Roman" w:hAnsi="Times New Roman"/>
                <w:sz w:val="22"/>
                <w:szCs w:val="22"/>
                <w:b w:val="1"/>
                <w:bCs w:val="1"/>
                <w:color w:val="auto"/>
                <w:w w:val="95"/>
              </w:rPr>
              <w:t>Three</w:t>
            </w:r>
          </w:p>
        </w:tc>
      </w:tr>
      <w:tr>
        <w:trPr>
          <w:trHeight w:val="243"/>
        </w:trPr>
        <w:tc>
          <w:tcPr>
            <w:tcW w:w="3220" w:type="dxa"/>
            <w:vAlign w:val="bottom"/>
          </w:tcPr>
          <w:p>
            <w:pPr>
              <w:spacing w:after="0"/>
              <w:rPr>
                <w:sz w:val="21"/>
                <w:szCs w:val="21"/>
                <w:color w:val="auto"/>
              </w:rPr>
            </w:pPr>
          </w:p>
        </w:tc>
        <w:tc>
          <w:tcPr>
            <w:tcW w:w="1180" w:type="dxa"/>
            <w:vAlign w:val="bottom"/>
          </w:tcPr>
          <w:p>
            <w:pPr>
              <w:jc w:val="center"/>
              <w:ind w:right="272"/>
              <w:spacing w:after="0" w:line="243" w:lineRule="exact"/>
              <w:rPr>
                <w:sz w:val="20"/>
                <w:szCs w:val="20"/>
                <w:color w:val="auto"/>
              </w:rPr>
            </w:pPr>
            <w:r>
              <w:rPr>
                <w:rFonts w:ascii="Times New Roman" w:cs="Times New Roman" w:eastAsia="Times New Roman" w:hAnsi="Times New Roman"/>
                <w:sz w:val="22"/>
                <w:szCs w:val="22"/>
                <w:b w:val="1"/>
                <w:bCs w:val="1"/>
                <w:color w:val="auto"/>
                <w:w w:val="99"/>
              </w:rPr>
              <w:t>Months</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Months</w:t>
            </w:r>
          </w:p>
        </w:tc>
      </w:tr>
      <w:tr>
        <w:trPr>
          <w:trHeight w:val="243"/>
        </w:trPr>
        <w:tc>
          <w:tcPr>
            <w:tcW w:w="3220" w:type="dxa"/>
            <w:vAlign w:val="bottom"/>
          </w:tcPr>
          <w:p>
            <w:pPr>
              <w:spacing w:after="0"/>
              <w:rPr>
                <w:sz w:val="21"/>
                <w:szCs w:val="21"/>
                <w:color w:val="auto"/>
              </w:rPr>
            </w:pPr>
          </w:p>
        </w:tc>
        <w:tc>
          <w:tcPr>
            <w:tcW w:w="1180" w:type="dxa"/>
            <w:vAlign w:val="bottom"/>
          </w:tcPr>
          <w:p>
            <w:pPr>
              <w:jc w:val="center"/>
              <w:ind w:righ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r>
      <w:tr>
        <w:trPr>
          <w:trHeight w:val="243"/>
        </w:trPr>
        <w:tc>
          <w:tcPr>
            <w:tcW w:w="3220" w:type="dxa"/>
            <w:vAlign w:val="bottom"/>
          </w:tcPr>
          <w:p>
            <w:pPr>
              <w:spacing w:after="0"/>
              <w:rPr>
                <w:sz w:val="21"/>
                <w:szCs w:val="21"/>
                <w:color w:val="auto"/>
              </w:rPr>
            </w:pPr>
          </w:p>
        </w:tc>
        <w:tc>
          <w:tcPr>
            <w:tcW w:w="118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r>
      <w:tr>
        <w:trPr>
          <w:trHeight w:val="287"/>
        </w:trPr>
        <w:tc>
          <w:tcPr>
            <w:tcW w:w="3220" w:type="dxa"/>
            <w:vAlign w:val="bottom"/>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(1)</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w:t>
            </w: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w:t>
            </w: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2026</w:t>
            </w:r>
          </w:p>
        </w:tc>
      </w:tr>
      <w:tr>
        <w:trPr>
          <w:trHeight w:val="250"/>
        </w:trPr>
        <w:tc>
          <w:tcPr>
            <w:tcW w:w="3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180" w:type="dxa"/>
            <w:vAlign w:val="bottom"/>
            <w:gridSpan w:val="7"/>
          </w:tcPr>
          <w:p>
            <w:pPr>
              <w:jc w:val="center"/>
              <w:ind w:left="132"/>
              <w:spacing w:after="0" w:line="250" w:lineRule="exact"/>
              <w:rPr>
                <w:sz w:val="20"/>
                <w:szCs w:val="20"/>
                <w:color w:val="auto"/>
              </w:rPr>
            </w:pPr>
            <w:r>
              <w:rPr>
                <w:rFonts w:ascii="Times New Roman" w:cs="Times New Roman" w:eastAsia="Times New Roman" w:hAnsi="Times New Roman"/>
                <w:sz w:val="22"/>
                <w:szCs w:val="22"/>
                <w:b w:val="1"/>
                <w:bCs w:val="1"/>
                <w:color w:val="auto"/>
                <w:w w:val="98"/>
              </w:rPr>
              <w:t>(in thousands, except percentages and per share data)</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3"/>
              </w:rPr>
              <w:t>$ 610,787</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  6,074</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   106</w:t>
            </w:r>
          </w:p>
        </w:tc>
        <w:tc>
          <w:tcPr>
            <w:tcW w:w="7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$ 616,967</w:t>
            </w:r>
          </w:p>
        </w:tc>
      </w:tr>
    </w:tbl>
    <w:p>
      <w:pPr>
        <w:sectPr>
          <w:pgSz w:w="11900" w:h="16916" w:orient="portrait"/>
          <w:cols w:equalWidth="0" w:num="1">
            <w:col w:w="11240"/>
          </w:cols>
          <w:pgMar w:left="320" w:top="111" w:right="339" w:bottom="0" w:gutter="0" w:footer="0" w:header="0"/>
        </w:sectPr>
      </w:pPr>
    </w:p>
    <w:bookmarkStart w:id="10" w:name="page11"/>
    <w:bookmarkEnd w:id="1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87.8%</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2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marketing</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283,605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8"/>
              </w:rPr>
              <w:t>(19,556)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263,961</w:t>
            </w:r>
          </w:p>
        </w:tc>
      </w:tr>
      <w:tr>
        <w:trPr>
          <w:trHeight w:val="270"/>
        </w:trPr>
        <w:tc>
          <w:tcPr>
            <w:tcW w:w="32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196,098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8"/>
              </w:rPr>
              <w:t>(44,757)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151,341</w:t>
            </w:r>
          </w:p>
        </w:tc>
      </w:tr>
      <w:tr>
        <w:trPr>
          <w:trHeight w:val="282"/>
        </w:trPr>
        <w:tc>
          <w:tcPr>
            <w:tcW w:w="32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60,575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8"/>
              </w:rPr>
              <w:t>(12,431)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(2,948)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45,196</w:t>
            </w:r>
          </w:p>
        </w:tc>
      </w:tr>
      <w:tr>
        <w:trPr>
          <w:trHeight w:val="251"/>
        </w:trPr>
        <w:tc>
          <w:tcPr>
            <w:tcW w:w="32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operating expenses</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w w:val="97"/>
              </w:rPr>
              <w:t>540,278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w w:val="98"/>
              </w:rPr>
              <w:t>(76,744)</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rPr>
              <w:t>(88)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rPr>
              <w:t>(2,948)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w w:val="97"/>
              </w:rPr>
              <w:t>460,498</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Income from operations</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70,509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82,818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2,948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156,469</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Operating margin</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72,087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82,818</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2,948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2,997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5"/>
              </w:rPr>
              <w:t>(24,827)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136,217</w:t>
            </w:r>
          </w:p>
        </w:tc>
      </w:tr>
      <w:tr>
        <w:trPr>
          <w:trHeight w:val="27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Weighted shares outstanding, basic</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265,950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265,950</w:t>
            </w:r>
          </w:p>
        </w:tc>
      </w:tr>
      <w:tr>
        <w:trPr>
          <w:trHeight w:val="25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Weighted shares outstanding,</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15"/>
        </w:trPr>
        <w:tc>
          <w:tcPr>
            <w:tcW w:w="3220" w:type="dxa"/>
            <w:vAlign w:val="bottom"/>
          </w:tcPr>
          <w:p>
            <w:pPr>
              <w:spacing w:after="0" w:line="314" w:lineRule="exact"/>
              <w:rPr>
                <w:sz w:val="20"/>
                <w:szCs w:val="20"/>
                <w:color w:val="auto"/>
              </w:rPr>
            </w:pPr>
            <w:r>
              <w:rPr>
                <w:rFonts w:ascii="Times New Roman" w:cs="Times New Roman" w:eastAsia="Times New Roman" w:hAnsi="Times New Roman"/>
                <w:sz w:val="22"/>
                <w:szCs w:val="22"/>
                <w:color w:val="auto"/>
              </w:rPr>
              <w:t xml:space="preserve">diluted </w:t>
            </w:r>
            <w:r>
              <w:rPr>
                <w:rFonts w:ascii="Times New Roman" w:cs="Times New Roman" w:eastAsia="Times New Roman" w:hAnsi="Times New Roman"/>
                <w:sz w:val="35"/>
                <w:szCs w:val="35"/>
                <w:color w:val="auto"/>
                <w:vertAlign w:val="superscript"/>
              </w:rPr>
              <w:t>(6)</w:t>
            </w:r>
          </w:p>
        </w:tc>
        <w:tc>
          <w:tcPr>
            <w:tcW w:w="1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287,481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287,481</w:t>
            </w:r>
          </w:p>
        </w:tc>
      </w:tr>
      <w:tr>
        <w:trPr>
          <w:trHeight w:val="279"/>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share,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0.31</w:t>
            </w:r>
          </w:p>
        </w:tc>
        <w:tc>
          <w:tcPr>
            <w:tcW w:w="10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(0.09)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0.51</w:t>
            </w:r>
          </w:p>
        </w:tc>
      </w:tr>
      <w:tr>
        <w:trPr>
          <w:trHeight w:val="475"/>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Net income per share, diluted </w:t>
            </w:r>
            <w:r>
              <w:rPr>
                <w:rFonts w:ascii="Times New Roman" w:cs="Times New Roman" w:eastAsia="Times New Roman" w:hAnsi="Times New Roman"/>
                <w:sz w:val="35"/>
                <w:szCs w:val="35"/>
                <w:color w:val="auto"/>
                <w:vertAlign w:val="superscript"/>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0.47</w:t>
            </w: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4"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w:t>
      </w:r>
    </w:p>
    <w:p>
      <w:pPr>
        <w:ind w:left="420" w:hanging="412"/>
        <w:spacing w:after="0" w:line="230" w:lineRule="auto"/>
        <w:tabs>
          <w:tab w:leader="none" w:pos="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intangible assets</w:t>
      </w:r>
    </w:p>
    <w:p>
      <w:pPr>
        <w:ind w:left="420" w:hanging="412"/>
        <w:spacing w:after="0" w:line="230" w:lineRule="auto"/>
        <w:tabs>
          <w:tab w:leader="none" w:pos="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fees</w:t>
      </w:r>
    </w:p>
    <w:p>
      <w:pPr>
        <w:ind w:left="420" w:hanging="412"/>
        <w:spacing w:after="0" w:line="230" w:lineRule="auto"/>
        <w:tabs>
          <w:tab w:leader="none" w:pos="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issuance costs and interest expense related to debt</w:t>
      </w:r>
    </w:p>
    <w:p>
      <w:pPr>
        <w:ind w:right="40" w:firstLine="8"/>
        <w:spacing w:after="0" w:line="230" w:lineRule="auto"/>
        <w:tabs>
          <w:tab w:leader="none" w:pos="4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r>
    </w:p>
    <w:p>
      <w:pPr>
        <w:spacing w:after="0" w:line="3" w:lineRule="exact"/>
        <w:rPr>
          <w:rFonts w:ascii="Times New Roman" w:cs="Times New Roman" w:eastAsia="Times New Roman" w:hAnsi="Times New Roman"/>
          <w:sz w:val="22"/>
          <w:szCs w:val="22"/>
          <w:color w:val="auto"/>
        </w:rPr>
      </w:pPr>
    </w:p>
    <w:p>
      <w:pPr>
        <w:ind w:right="440" w:firstLine="8"/>
        <w:spacing w:after="0" w:line="230" w:lineRule="auto"/>
        <w:tabs>
          <w:tab w:leader="none" w:pos="4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21,531 potentially dilutive shares related to convertible senior notes and the issuance of shares under employee equity incentive plans</w:t>
      </w:r>
    </w:p>
    <w:p>
      <w:pPr>
        <w:spacing w:after="0" w:line="1" w:lineRule="exact"/>
        <w:rPr>
          <w:rFonts w:ascii="Times New Roman" w:cs="Times New Roman" w:eastAsia="Times New Roman" w:hAnsi="Times New Roman"/>
          <w:sz w:val="22"/>
          <w:szCs w:val="22"/>
          <w:color w:val="auto"/>
        </w:rPr>
      </w:pPr>
    </w:p>
    <w:p>
      <w:pPr>
        <w:ind w:right="180" w:firstLine="8"/>
        <w:spacing w:after="0" w:line="237" w:lineRule="auto"/>
        <w:tabs>
          <w:tab w:leader="none" w:pos="4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ASC 260, in order to calculate GAAP net income per share, diluted, the numerator has been adjusted to add back $1,108 of interest expense related to the convertible senior notes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8"/>
              </w:rPr>
              <w:t>Non-</w:t>
            </w:r>
          </w:p>
        </w:tc>
        <w:tc>
          <w:tcPr>
            <w:tcW w:w="0" w:type="dxa"/>
            <w:vAlign w:val="bottom"/>
          </w:tcPr>
          <w:p>
            <w:pPr>
              <w:spacing w:after="0"/>
              <w:rPr>
                <w:sz w:val="1"/>
                <w:szCs w:val="1"/>
                <w:color w:val="auto"/>
              </w:rPr>
            </w:pPr>
          </w:p>
        </w:tc>
      </w:tr>
      <w:tr>
        <w:trPr>
          <w:trHeight w:val="286"/>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6"/>
              </w:rPr>
              <w:t>GAAP</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b w:val="1"/>
                <w:bCs w:val="1"/>
                <w:color w:val="auto"/>
              </w:rPr>
              <w:t>Non-GAAP Adjustments</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GAAP</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60"/>
              <w:spacing w:after="0" w:line="206" w:lineRule="exact"/>
              <w:rPr>
                <w:sz w:val="20"/>
                <w:szCs w:val="20"/>
                <w:color w:val="auto"/>
              </w:rPr>
            </w:pPr>
            <w:r>
              <w:rPr>
                <w:rFonts w:ascii="Times New Roman" w:cs="Times New Roman" w:eastAsia="Times New Roman" w:hAnsi="Times New Roman"/>
                <w:sz w:val="22"/>
                <w:szCs w:val="22"/>
                <w:b w:val="1"/>
                <w:bCs w:val="1"/>
                <w:color w:val="auto"/>
                <w:w w:val="99"/>
              </w:rPr>
              <w:t>Nine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206" w:lineRule="exact"/>
              <w:rPr>
                <w:sz w:val="20"/>
                <w:szCs w:val="20"/>
                <w:color w:val="auto"/>
              </w:rPr>
            </w:pPr>
            <w:r>
              <w:rPr>
                <w:rFonts w:ascii="Times New Roman" w:cs="Times New Roman" w:eastAsia="Times New Roman" w:hAnsi="Times New Roman"/>
                <w:sz w:val="22"/>
                <w:szCs w:val="22"/>
                <w:b w:val="1"/>
                <w:bCs w:val="1"/>
                <w:color w:val="auto"/>
                <w:w w:val="95"/>
              </w:rPr>
              <w:t>Nine</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5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Months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4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Months</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360" w:type="dxa"/>
            <w:vAlign w:val="bottom"/>
            <w:gridSpan w:val="3"/>
          </w:tcPr>
          <w:p>
            <w:pPr>
              <w:jc w:val="center"/>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0" w:type="dxa"/>
            <w:vAlign w:val="bottom"/>
          </w:tcPr>
          <w:p>
            <w:pPr>
              <w:spacing w:after="0"/>
              <w:rPr>
                <w:sz w:val="1"/>
                <w:szCs w:val="1"/>
                <w:color w:val="auto"/>
              </w:rPr>
            </w:pPr>
          </w:p>
        </w:tc>
      </w:tr>
      <w:tr>
        <w:trPr>
          <w:trHeight w:val="287"/>
        </w:trPr>
        <w:tc>
          <w:tcPr>
            <w:tcW w:w="2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(3)</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5"/>
              </w:rPr>
              <w:t>2026</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40" w:type="dxa"/>
            <w:vAlign w:val="bottom"/>
            <w:gridSpan w:val="14"/>
          </w:tcPr>
          <w:p>
            <w:pPr>
              <w:ind w:left="120"/>
              <w:spacing w:after="0" w:line="250" w:lineRule="exact"/>
              <w:rPr>
                <w:sz w:val="20"/>
                <w:szCs w:val="20"/>
                <w:color w:val="auto"/>
              </w:rPr>
            </w:pPr>
            <w:r>
              <w:rPr>
                <w:rFonts w:ascii="Times New Roman" w:cs="Times New Roman" w:eastAsia="Times New Roman" w:hAnsi="Times New Roman"/>
                <w:sz w:val="22"/>
                <w:szCs w:val="22"/>
                <w:b w:val="1"/>
                <w:bCs w:val="1"/>
                <w:color w:val="auto"/>
              </w:rPr>
              <w:t>(in thousands, except percentages and per share data)</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1,825,445</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21,282</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318</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1,847,045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4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87.1%</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88.1%</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marketing</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846,381</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(60,070)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786,047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585,839</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7"/>
              </w:rPr>
              <w:t>(135,363)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450,476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189,244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(46,427)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(9,651)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133,166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operating expenses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7"/>
              </w:rPr>
              <w:t>1,621,464</w:t>
            </w: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2"/>
              <w:spacing w:after="0" w:line="251" w:lineRule="exact"/>
              <w:rPr>
                <w:sz w:val="20"/>
                <w:szCs w:val="20"/>
                <w:color w:val="auto"/>
              </w:rPr>
            </w:pPr>
            <w:r>
              <w:rPr>
                <w:rFonts w:ascii="Times New Roman" w:cs="Times New Roman" w:eastAsia="Times New Roman" w:hAnsi="Times New Roman"/>
                <w:sz w:val="22"/>
                <w:szCs w:val="22"/>
                <w:color w:val="auto"/>
                <w:w w:val="97"/>
              </w:rPr>
              <w:t>(241,860)</w:t>
            </w: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(264)</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(9,651)</w:t>
            </w: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9"/>
              </w:rPr>
              <w:t>1,369,689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Income from operations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203,981</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263,142</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9,651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477,356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Operating margin</w:t>
            </w:r>
          </w:p>
        </w:tc>
        <w:tc>
          <w:tcPr>
            <w:tcW w:w="14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9.7%</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22.8%</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237,205</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263,142</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582</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9,651</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8,985</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(98,163)</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421,402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 shares outstanding,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268,058</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268,058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Weighted shares outstanding,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line="314" w:lineRule="exact"/>
              <w:rPr>
                <w:sz w:val="20"/>
                <w:szCs w:val="20"/>
                <w:color w:val="auto"/>
              </w:rPr>
            </w:pPr>
            <w:r>
              <w:rPr>
                <w:rFonts w:ascii="Times New Roman" w:cs="Times New Roman" w:eastAsia="Times New Roman" w:hAnsi="Times New Roman"/>
                <w:sz w:val="22"/>
                <w:szCs w:val="22"/>
                <w:color w:val="auto"/>
              </w:rPr>
              <w:t xml:space="preserve">diluted </w:t>
            </w:r>
            <w:r>
              <w:rPr>
                <w:rFonts w:ascii="Times New Roman" w:cs="Times New Roman" w:eastAsia="Times New Roman" w:hAnsi="Times New Roman"/>
                <w:sz w:val="35"/>
                <w:szCs w:val="35"/>
                <w:color w:val="auto"/>
                <w:vertAlign w:val="superscript"/>
              </w:rPr>
              <w:t>(6)</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291,992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291,992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share,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0.99</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0.04</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share, diluted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4"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w:t>
      </w:r>
    </w:p>
    <w:p>
      <w:pPr>
        <w:ind w:left="420" w:hanging="412"/>
        <w:spacing w:after="0" w:line="230" w:lineRule="auto"/>
        <w:tabs>
          <w:tab w:leader="none" w:pos="4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intangible assets</w:t>
      </w:r>
    </w:p>
    <w:p>
      <w:pPr>
        <w:ind w:left="420" w:hanging="412"/>
        <w:spacing w:after="0" w:line="230" w:lineRule="auto"/>
        <w:tabs>
          <w:tab w:leader="none" w:pos="4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fees</w:t>
      </w:r>
    </w:p>
    <w:p>
      <w:pPr>
        <w:ind w:left="420" w:hanging="412"/>
        <w:spacing w:after="0" w:line="230" w:lineRule="auto"/>
        <w:tabs>
          <w:tab w:leader="none" w:pos="4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issuance costs and interest expense related to debt</w:t>
      </w:r>
    </w:p>
    <w:p>
      <w:pPr>
        <w:ind w:left="420" w:hanging="412"/>
        <w:spacing w:after="0"/>
        <w:tabs>
          <w:tab w:leader="none" w:pos="4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Income tax effect of non-GAAP adjustments. We use a long-term projected non-GAAP tax rate of 20% for the purposes of</w:t>
      </w:r>
    </w:p>
    <w:p>
      <w:pPr>
        <w:sectPr>
          <w:pgSz w:w="11900" w:h="16838" w:orient="portrait"/>
          <w:cols w:equalWidth="0" w:num="1">
            <w:col w:w="11240"/>
          </w:cols>
          <w:pgMar w:left="320" w:top="126" w:right="339" w:bottom="0" w:gutter="0" w:footer="0" w:header="0"/>
        </w:sectPr>
      </w:pPr>
    </w:p>
    <w:bookmarkStart w:id="11" w:name="page12"/>
    <w:bookmarkEnd w:id="11"/>
    <w:p>
      <w:pPr>
        <w:ind w:right="40"/>
        <w:spacing w:after="0" w:line="234" w:lineRule="auto"/>
        <w:rPr>
          <w:sz w:val="20"/>
          <w:szCs w:val="20"/>
          <w:color w:val="auto"/>
        </w:rPr>
      </w:pPr>
      <w:r>
        <w:rPr>
          <w:rFonts w:ascii="Times New Roman" w:cs="Times New Roman" w:eastAsia="Times New Roman" w:hAnsi="Times New Roman"/>
          <w:sz w:val="22"/>
          <w:szCs w:val="22"/>
          <w:color w:val="auto"/>
        </w:rPr>
        <w:t>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r>
    </w:p>
    <w:p>
      <w:pPr>
        <w:spacing w:after="0" w:line="3" w:lineRule="exact"/>
        <w:rPr>
          <w:sz w:val="20"/>
          <w:szCs w:val="20"/>
          <w:color w:val="auto"/>
        </w:rPr>
      </w:pPr>
    </w:p>
    <w:p>
      <w:pPr>
        <w:ind w:right="440" w:firstLine="8"/>
        <w:spacing w:after="0" w:line="230" w:lineRule="auto"/>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23,934 potentially dilutive shares related to convertible senior notes and the issuance of shares under employee equity incentive plans</w:t>
      </w:r>
    </w:p>
    <w:p>
      <w:pPr>
        <w:spacing w:after="0" w:line="1" w:lineRule="exact"/>
        <w:rPr>
          <w:rFonts w:ascii="Times New Roman" w:cs="Times New Roman" w:eastAsia="Times New Roman" w:hAnsi="Times New Roman"/>
          <w:sz w:val="22"/>
          <w:szCs w:val="22"/>
          <w:color w:val="auto"/>
        </w:rPr>
      </w:pPr>
    </w:p>
    <w:p>
      <w:pPr>
        <w:ind w:right="180" w:firstLine="8"/>
        <w:spacing w:after="0" w:line="237" w:lineRule="auto"/>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ASC 260, in order to calculate GAAP net income per share, diluted, the numerator has been adjusted to add back $3,305 of interest expense related to the convertible senior notes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8"/>
              </w:rPr>
              <w:t>Non-</w:t>
            </w:r>
          </w:p>
        </w:tc>
      </w:tr>
      <w:tr>
        <w:trPr>
          <w:trHeight w:val="28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9"/>
              </w:rPr>
              <w:t>GAAP</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22"/>
                <w:szCs w:val="22"/>
                <w:b w:val="1"/>
                <w:bCs w:val="1"/>
                <w:color w:val="auto"/>
                <w:w w:val="99"/>
              </w:rPr>
              <w:t>Non-GAAP Adjustments</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9"/>
              </w:rPr>
              <w:t>GAAP</w:t>
            </w:r>
          </w:p>
        </w:tc>
      </w:tr>
      <w:tr>
        <w:trPr>
          <w:trHeight w:val="207"/>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440"/>
              <w:spacing w:after="0" w:line="206" w:lineRule="exact"/>
              <w:rPr>
                <w:sz w:val="20"/>
                <w:szCs w:val="20"/>
                <w:color w:val="auto"/>
              </w:rPr>
            </w:pPr>
            <w:r>
              <w:rPr>
                <w:rFonts w:ascii="Times New Roman" w:cs="Times New Roman" w:eastAsia="Times New Roman" w:hAnsi="Times New Roman"/>
                <w:sz w:val="22"/>
                <w:szCs w:val="22"/>
                <w:b w:val="1"/>
                <w:bCs w:val="1"/>
                <w:color w:val="auto"/>
                <w:w w:val="95"/>
              </w:rPr>
              <w:t>Three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232"/>
              <w:spacing w:after="0" w:line="206" w:lineRule="exact"/>
              <w:rPr>
                <w:sz w:val="20"/>
                <w:szCs w:val="20"/>
                <w:color w:val="auto"/>
              </w:rPr>
            </w:pPr>
            <w:r>
              <w:rPr>
                <w:rFonts w:ascii="Times New Roman" w:cs="Times New Roman" w:eastAsia="Times New Roman" w:hAnsi="Times New Roman"/>
                <w:sz w:val="22"/>
                <w:szCs w:val="22"/>
                <w:b w:val="1"/>
                <w:bCs w:val="1"/>
                <w:color w:val="auto"/>
                <w:w w:val="95"/>
              </w:rPr>
              <w:t>Three</w:t>
            </w:r>
          </w:p>
        </w:tc>
      </w:tr>
      <w:tr>
        <w:trPr>
          <w:trHeight w:val="243"/>
        </w:trPr>
        <w:tc>
          <w:tcPr>
            <w:tcW w:w="2520" w:type="dxa"/>
            <w:vAlign w:val="bottom"/>
          </w:tcPr>
          <w:p>
            <w:pPr>
              <w:spacing w:after="0"/>
              <w:rPr>
                <w:sz w:val="21"/>
                <w:szCs w:val="21"/>
                <w:color w:val="auto"/>
              </w:rPr>
            </w:pPr>
          </w:p>
        </w:tc>
        <w:tc>
          <w:tcPr>
            <w:tcW w:w="1180" w:type="dxa"/>
            <w:vAlign w:val="bottom"/>
            <w:gridSpan w:val="3"/>
          </w:tcPr>
          <w:p>
            <w:pPr>
              <w:jc w:val="center"/>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9"/>
              </w:rPr>
              <w:t>Months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Months</w:t>
            </w:r>
          </w:p>
        </w:tc>
      </w:tr>
      <w:tr>
        <w:trPr>
          <w:trHeight w:val="243"/>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righ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r>
      <w:tr>
        <w:trPr>
          <w:trHeight w:val="243"/>
        </w:trPr>
        <w:tc>
          <w:tcPr>
            <w:tcW w:w="2520" w:type="dxa"/>
            <w:vAlign w:val="bottom"/>
          </w:tcPr>
          <w:p>
            <w:pPr>
              <w:spacing w:after="0"/>
              <w:rPr>
                <w:sz w:val="21"/>
                <w:szCs w:val="21"/>
                <w:color w:val="auto"/>
              </w:rPr>
            </w:pPr>
          </w:p>
        </w:tc>
        <w:tc>
          <w:tcPr>
            <w:tcW w:w="1180" w:type="dxa"/>
            <w:vAlign w:val="bottom"/>
            <w:gridSpan w:val="3"/>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r>
      <w:tr>
        <w:trPr>
          <w:trHeight w:val="287"/>
        </w:trPr>
        <w:tc>
          <w:tcPr>
            <w:tcW w:w="2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5"/>
              </w:rPr>
              <w:t>2025</w:t>
            </w: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00" w:type="dxa"/>
            <w:vAlign w:val="bottom"/>
            <w:gridSpan w:val="17"/>
          </w:tcPr>
          <w:p>
            <w:pPr>
              <w:ind w:left="460"/>
              <w:spacing w:after="0" w:line="250" w:lineRule="exact"/>
              <w:rPr>
                <w:sz w:val="20"/>
                <w:szCs w:val="20"/>
                <w:color w:val="auto"/>
              </w:rPr>
            </w:pPr>
            <w:r>
              <w:rPr>
                <w:rFonts w:ascii="Times New Roman" w:cs="Times New Roman" w:eastAsia="Times New Roman" w:hAnsi="Times New Roman"/>
                <w:sz w:val="22"/>
                <w:szCs w:val="22"/>
                <w:b w:val="1"/>
                <w:bCs w:val="1"/>
                <w:color w:val="auto"/>
              </w:rPr>
              <w:t>(in thousands, except percentages and per share data)</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555,992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7,024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563,562</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marketing</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260,402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8"/>
              </w:rPr>
              <w:t>(19,513)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240,800</w:t>
            </w:r>
          </w:p>
        </w:tc>
      </w:tr>
      <w:tr>
        <w:trPr>
          <w:trHeight w:val="243"/>
        </w:trPr>
        <w:tc>
          <w:tcPr>
            <w:tcW w:w="2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Research and</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development</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186,413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8"/>
              </w:rPr>
              <w:t>(42,162)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144,251</w:t>
            </w:r>
          </w:p>
        </w:tc>
      </w:tr>
      <w:tr>
        <w:trPr>
          <w:trHeight w:val="243"/>
        </w:trPr>
        <w:tc>
          <w:tcPr>
            <w:tcW w:w="2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General and</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2"/>
        </w:trPr>
        <w:tc>
          <w:tcPr>
            <w:tcW w:w="2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w:t>
            </w:r>
          </w:p>
        </w:tc>
        <w:tc>
          <w:tcPr>
            <w:tcW w:w="1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60,532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8"/>
              </w:rPr>
              <w:t>(15,543)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6"/>
              </w:rPr>
              <w:t>(3,545)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41,444</w:t>
            </w:r>
          </w:p>
        </w:tc>
      </w:tr>
      <w:tr>
        <w:trPr>
          <w:trHeight w:val="251"/>
        </w:trPr>
        <w:tc>
          <w:tcPr>
            <w:tcW w:w="25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operating expenses</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w w:val="97"/>
              </w:rPr>
              <w:t>507,347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w w:val="98"/>
              </w:rPr>
              <w:t>(77,218)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rPr>
              <w:t>(89)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32"/>
              <w:spacing w:after="0" w:line="251" w:lineRule="exact"/>
              <w:rPr>
                <w:sz w:val="20"/>
                <w:szCs w:val="20"/>
                <w:color w:val="auto"/>
              </w:rPr>
            </w:pPr>
            <w:r>
              <w:rPr>
                <w:rFonts w:ascii="Times New Roman" w:cs="Times New Roman" w:eastAsia="Times New Roman" w:hAnsi="Times New Roman"/>
                <w:sz w:val="22"/>
                <w:szCs w:val="22"/>
                <w:color w:val="auto"/>
                <w:w w:val="96"/>
              </w:rPr>
              <w:t>(3,545)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2"/>
              <w:spacing w:after="0" w:line="251" w:lineRule="exact"/>
              <w:rPr>
                <w:sz w:val="20"/>
                <w:szCs w:val="20"/>
                <w:color w:val="auto"/>
              </w:rPr>
            </w:pPr>
            <w:r>
              <w:rPr>
                <w:rFonts w:ascii="Times New Roman" w:cs="Times New Roman" w:eastAsia="Times New Roman" w:hAnsi="Times New Roman"/>
                <w:sz w:val="22"/>
                <w:szCs w:val="22"/>
                <w:color w:val="auto"/>
              </w:rPr>
              <w:t>426,495</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Income from operations</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48,645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84,242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3,545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137,067</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Operating margin</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63,363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84,242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635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3,545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2,950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5"/>
              </w:rPr>
              <w:t>(29,942)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124,713</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 shares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outstanding, basic</w:t>
            </w:r>
          </w:p>
        </w:tc>
        <w:tc>
          <w:tcPr>
            <w:tcW w:w="12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267,566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267,566</w:t>
            </w:r>
          </w:p>
        </w:tc>
      </w:tr>
      <w:tr>
        <w:trPr>
          <w:trHeight w:val="25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Weighted shares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15"/>
        </w:trPr>
        <w:tc>
          <w:tcPr>
            <w:tcW w:w="2520" w:type="dxa"/>
            <w:vAlign w:val="bottom"/>
          </w:tcPr>
          <w:p>
            <w:pPr>
              <w:spacing w:after="0" w:line="314" w:lineRule="exact"/>
              <w:rPr>
                <w:sz w:val="20"/>
                <w:szCs w:val="20"/>
                <w:color w:val="auto"/>
              </w:rPr>
            </w:pPr>
            <w:r>
              <w:rPr>
                <w:rFonts w:ascii="Times New Roman" w:cs="Times New Roman" w:eastAsia="Times New Roman" w:hAnsi="Times New Roman"/>
                <w:sz w:val="22"/>
                <w:szCs w:val="22"/>
                <w:color w:val="auto"/>
              </w:rPr>
              <w:t xml:space="preserve">outstanding, diluted </w:t>
            </w:r>
            <w:r>
              <w:rPr>
                <w:rFonts w:ascii="Times New Roman" w:cs="Times New Roman" w:eastAsia="Times New Roman" w:hAnsi="Times New Roman"/>
                <w:sz w:val="35"/>
                <w:szCs w:val="35"/>
                <w:color w:val="auto"/>
                <w:vertAlign w:val="superscript"/>
              </w:rPr>
              <w:t>(7)</w:t>
            </w:r>
          </w:p>
        </w:tc>
        <w:tc>
          <w:tcPr>
            <w:tcW w:w="1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7"/>
              </w:rPr>
              <w:t>296,804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296,804</w:t>
            </w:r>
          </w:p>
        </w:tc>
      </w:tr>
      <w:tr>
        <w:trPr>
          <w:trHeight w:val="243"/>
        </w:trPr>
        <w:tc>
          <w:tcPr>
            <w:tcW w:w="2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 per share,</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0.24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0.32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(0.11)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0.47</w:t>
            </w:r>
          </w:p>
        </w:tc>
      </w:tr>
      <w:tr>
        <w:trPr>
          <w:trHeight w:val="25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 share,</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75"/>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diluted </w:t>
            </w:r>
            <w:r>
              <w:rPr>
                <w:rFonts w:ascii="Times New Roman" w:cs="Times New Roman" w:eastAsia="Times New Roman" w:hAnsi="Times New Roman"/>
                <w:sz w:val="35"/>
                <w:szCs w:val="35"/>
                <w:color w:val="auto"/>
                <w:vertAlign w:val="superscript"/>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0.42</w:t>
            </w: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4"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w:t>
      </w:r>
    </w:p>
    <w:p>
      <w:pPr>
        <w:ind w:left="420" w:hanging="412"/>
        <w:spacing w:after="0" w:line="230" w:lineRule="auto"/>
        <w:tabs>
          <w:tab w:leader="none" w:pos="4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intangible assets</w:t>
      </w:r>
    </w:p>
    <w:p>
      <w:pPr>
        <w:ind w:left="420" w:hanging="412"/>
        <w:spacing w:after="0" w:line="230" w:lineRule="auto"/>
        <w:tabs>
          <w:tab w:leader="none" w:pos="4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fees</w:t>
      </w:r>
    </w:p>
    <w:p>
      <w:pPr>
        <w:ind w:left="420" w:hanging="412"/>
        <w:spacing w:after="0" w:line="230" w:lineRule="auto"/>
        <w:tabs>
          <w:tab w:leader="none" w:pos="4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t>
      </w:r>
    </w:p>
    <w:p>
      <w:pPr>
        <w:ind w:left="420" w:hanging="412"/>
        <w:spacing w:after="0" w:line="230" w:lineRule="auto"/>
        <w:tabs>
          <w:tab w:leader="none" w:pos="4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issuance costs and interest expense related to convertible senior notes</w:t>
      </w:r>
    </w:p>
    <w:p>
      <w:pPr>
        <w:ind w:right="40" w:firstLine="8"/>
        <w:spacing w:after="0" w:line="230"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r>
    </w:p>
    <w:p>
      <w:pPr>
        <w:spacing w:after="0" w:line="3" w:lineRule="exact"/>
        <w:rPr>
          <w:rFonts w:ascii="Times New Roman" w:cs="Times New Roman" w:eastAsia="Times New Roman" w:hAnsi="Times New Roman"/>
          <w:sz w:val="22"/>
          <w:szCs w:val="22"/>
          <w:color w:val="auto"/>
        </w:rPr>
      </w:pPr>
    </w:p>
    <w:p>
      <w:pPr>
        <w:ind w:right="440" w:firstLine="8"/>
        <w:spacing w:after="0" w:line="230"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29,238 potentially dilutive shares related to convertible senior notes and the issuance of shares under employee equity incentive plans</w:t>
      </w:r>
    </w:p>
    <w:p>
      <w:pPr>
        <w:spacing w:after="0" w:line="1" w:lineRule="exact"/>
        <w:rPr>
          <w:rFonts w:ascii="Times New Roman" w:cs="Times New Roman" w:eastAsia="Times New Roman" w:hAnsi="Times New Roman"/>
          <w:sz w:val="22"/>
          <w:szCs w:val="22"/>
          <w:color w:val="auto"/>
        </w:rPr>
      </w:pPr>
    </w:p>
    <w:p>
      <w:pPr>
        <w:ind w:right="180" w:firstLine="8"/>
        <w:spacing w:after="0" w:line="237"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ASC 260, in order to calculate GAAP net income per share, diluted, the numerator has been adjusted to add back $1,099 of interest expense related to the convertible senior notes</w:t>
      </w:r>
    </w:p>
    <w:p>
      <w:pPr>
        <w:spacing w:after="0" w:line="178"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Non-</w:t>
            </w:r>
          </w:p>
        </w:tc>
      </w:tr>
      <w:tr>
        <w:trPr>
          <w:trHeight w:val="286"/>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6"/>
              </w:rPr>
              <w:t>GAAP</w:t>
            </w: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Non-GAAP Adjustments</w:t>
            </w: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GAAP</w:t>
            </w:r>
          </w:p>
        </w:tc>
      </w:tr>
      <w:tr>
        <w:trPr>
          <w:trHeight w:val="207"/>
        </w:trPr>
        <w:tc>
          <w:tcPr>
            <w:tcW w:w="1320" w:type="dxa"/>
            <w:vAlign w:val="bottom"/>
          </w:tcPr>
          <w:p>
            <w:pPr>
              <w:jc w:val="center"/>
              <w:ind w:right="172"/>
              <w:spacing w:after="0" w:line="206" w:lineRule="exact"/>
              <w:rPr>
                <w:sz w:val="20"/>
                <w:szCs w:val="20"/>
                <w:color w:val="auto"/>
              </w:rPr>
            </w:pPr>
            <w:r>
              <w:rPr>
                <w:rFonts w:ascii="Times New Roman" w:cs="Times New Roman" w:eastAsia="Times New Roman" w:hAnsi="Times New Roman"/>
                <w:sz w:val="22"/>
                <w:szCs w:val="22"/>
                <w:b w:val="1"/>
                <w:bCs w:val="1"/>
                <w:color w:val="auto"/>
                <w:w w:val="99"/>
              </w:rPr>
              <w:t>Nine</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jc w:val="center"/>
              <w:spacing w:after="0" w:line="206" w:lineRule="exact"/>
              <w:rPr>
                <w:sz w:val="20"/>
                <w:szCs w:val="20"/>
                <w:color w:val="auto"/>
              </w:rPr>
            </w:pPr>
            <w:r>
              <w:rPr>
                <w:rFonts w:ascii="Times New Roman" w:cs="Times New Roman" w:eastAsia="Times New Roman" w:hAnsi="Times New Roman"/>
                <w:sz w:val="22"/>
                <w:szCs w:val="22"/>
                <w:b w:val="1"/>
                <w:bCs w:val="1"/>
                <w:color w:val="auto"/>
                <w:w w:val="95"/>
              </w:rPr>
              <w:t>Nine</w:t>
            </w:r>
          </w:p>
        </w:tc>
      </w:tr>
      <w:tr>
        <w:trPr>
          <w:trHeight w:val="243"/>
        </w:trPr>
        <w:tc>
          <w:tcPr>
            <w:tcW w:w="1320" w:type="dxa"/>
            <w:vAlign w:val="bottom"/>
          </w:tcPr>
          <w:p>
            <w:pPr>
              <w:jc w:val="center"/>
              <w:ind w:right="2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Months</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Months</w:t>
            </w:r>
          </w:p>
        </w:tc>
      </w:tr>
      <w:tr>
        <w:trPr>
          <w:trHeight w:val="243"/>
        </w:trPr>
        <w:tc>
          <w:tcPr>
            <w:tcW w:w="132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Ended</w:t>
            </w:r>
          </w:p>
        </w:tc>
      </w:tr>
      <w:tr>
        <w:trPr>
          <w:trHeight w:val="243"/>
        </w:trPr>
        <w:tc>
          <w:tcPr>
            <w:tcW w:w="1320" w:type="dxa"/>
            <w:vAlign w:val="bottom"/>
          </w:tcPr>
          <w:p>
            <w:pPr>
              <w:jc w:val="center"/>
              <w:ind w:righ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r>
      <w:tr>
        <w:trPr>
          <w:trHeight w:val="287"/>
        </w:trPr>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(1)</w:t>
            </w: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w:t>
            </w:r>
          </w:p>
        </w:tc>
        <w:tc>
          <w:tcPr>
            <w:tcW w:w="11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(3)</w:t>
            </w: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(4)</w:t>
            </w: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(5)</w:t>
            </w: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(6)</w:t>
            </w: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(7)</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2025</w:t>
            </w:r>
          </w:p>
        </w:tc>
      </w:tr>
    </w:tbl>
    <w:p>
      <w:pPr>
        <w:sectPr>
          <w:pgSz w:w="11900" w:h="16838" w:orient="portrait"/>
          <w:cols w:equalWidth="0" w:num="1">
            <w:col w:w="11240"/>
          </w:cols>
          <w:pgMar w:left="320" w:top="112" w:right="339" w:bottom="0" w:gutter="0" w:footer="0" w:header="0"/>
        </w:sectPr>
      </w:pPr>
    </w:p>
    <w:bookmarkStart w:id="12" w:name="page13"/>
    <w:bookmarkEnd w:id="1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900" w:type="dxa"/>
            <w:vAlign w:val="bottom"/>
            <w:gridSpan w:val="17"/>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8"/>
              </w:rPr>
              <w:t>(in thousands, except percentages and per share data)</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1,633,711</w:t>
            </w:r>
          </w:p>
        </w:tc>
        <w:tc>
          <w:tcPr>
            <w:tcW w:w="2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23,193</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2,080</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1,658,984</w:t>
            </w:r>
          </w:p>
        </w:tc>
        <w:tc>
          <w:tcPr>
            <w:tcW w:w="2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14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86.7%</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88.0%</w:t>
            </w: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3"/>
        </w:trPr>
        <w:tc>
          <w:tcPr>
            <w:tcW w:w="1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Sales and</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marketing</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775,185</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(61,558)</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713,362</w:t>
            </w:r>
          </w:p>
        </w:tc>
        <w:tc>
          <w:tcPr>
            <w:tcW w:w="200" w:type="dxa"/>
            <w:vAlign w:val="bottom"/>
          </w:tcPr>
          <w:p>
            <w:pPr>
              <w:spacing w:after="0"/>
              <w:rPr>
                <w:sz w:val="23"/>
                <w:szCs w:val="23"/>
                <w:color w:val="auto"/>
              </w:rPr>
            </w:pPr>
          </w:p>
        </w:tc>
      </w:tr>
      <w:tr>
        <w:trPr>
          <w:trHeight w:val="243"/>
        </w:trPr>
        <w:tc>
          <w:tcPr>
            <w:tcW w:w="1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Research and</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development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543,157</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(132,489)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410,668</w:t>
            </w:r>
          </w:p>
        </w:tc>
        <w:tc>
          <w:tcPr>
            <w:tcW w:w="200" w:type="dxa"/>
            <w:vAlign w:val="bottom"/>
          </w:tcPr>
          <w:p>
            <w:pPr>
              <w:spacing w:after="0"/>
              <w:rPr>
                <w:sz w:val="23"/>
                <w:szCs w:val="23"/>
                <w:color w:val="auto"/>
              </w:rPr>
            </w:pPr>
          </w:p>
        </w:tc>
      </w:tr>
      <w:tr>
        <w:trPr>
          <w:trHeight w:val="243"/>
        </w:trPr>
        <w:tc>
          <w:tcPr>
            <w:tcW w:w="15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General and</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82"/>
        </w:trPr>
        <w:tc>
          <w:tcPr>
            <w:tcW w:w="15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174,036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(49,179)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(6,480)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118,377</w:t>
            </w:r>
          </w:p>
        </w:tc>
        <w:tc>
          <w:tcPr>
            <w:tcW w:w="200" w:type="dxa"/>
            <w:vAlign w:val="bottom"/>
          </w:tcPr>
          <w:p>
            <w:pPr>
              <w:spacing w:after="0"/>
              <w:rPr>
                <w:sz w:val="24"/>
                <w:szCs w:val="24"/>
                <w:color w:val="auto"/>
              </w:rPr>
            </w:pPr>
          </w:p>
        </w:tc>
      </w:tr>
      <w:tr>
        <w:trPr>
          <w:trHeight w:val="211"/>
        </w:trPr>
        <w:tc>
          <w:tcPr>
            <w:tcW w:w="152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Total operating</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expenses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1,492,378</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(243,226)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(6,480)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1,242,407</w:t>
            </w:r>
          </w:p>
        </w:tc>
        <w:tc>
          <w:tcPr>
            <w:tcW w:w="200" w:type="dxa"/>
            <w:vAlign w:val="bottom"/>
          </w:tcPr>
          <w:p>
            <w:pPr>
              <w:spacing w:after="0"/>
              <w:rPr>
                <w:sz w:val="23"/>
                <w:szCs w:val="23"/>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Income from</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operations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141,333</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266,419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2,345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6,480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416,577</w:t>
            </w:r>
          </w:p>
        </w:tc>
        <w:tc>
          <w:tcPr>
            <w:tcW w:w="200" w:type="dxa"/>
            <w:vAlign w:val="bottom"/>
          </w:tcPr>
          <w:p>
            <w:pPr>
              <w:spacing w:after="0"/>
              <w:rPr>
                <w:sz w:val="23"/>
                <w:szCs w:val="23"/>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margin</w:t>
            </w:r>
          </w:p>
        </w:tc>
        <w:tc>
          <w:tcPr>
            <w:tcW w:w="14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7.5%</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22.1%</w:t>
            </w: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149,716</w:t>
            </w:r>
          </w:p>
        </w:tc>
        <w:tc>
          <w:tcPr>
            <w:tcW w:w="2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266,419</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6"/>
              </w:rPr>
              <w:t>2,345</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6,480</w:t>
            </w:r>
          </w:p>
        </w:tc>
        <w:tc>
          <w:tcPr>
            <w:tcW w:w="16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11,347</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5,369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5"/>
              </w:rPr>
              <w:t>(74,862)</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366,604</w:t>
            </w:r>
          </w:p>
        </w:tc>
        <w:tc>
          <w:tcPr>
            <w:tcW w:w="200" w:type="dxa"/>
            <w:vAlign w:val="bottom"/>
          </w:tcPr>
          <w:p>
            <w:pPr>
              <w:spacing w:after="0"/>
              <w:rPr>
                <w:sz w:val="23"/>
                <w:szCs w:val="23"/>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 shares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outstanding,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267,081</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267,081</w:t>
            </w:r>
          </w:p>
        </w:tc>
        <w:tc>
          <w:tcPr>
            <w:tcW w:w="200" w:type="dxa"/>
            <w:vAlign w:val="bottom"/>
          </w:tcPr>
          <w:p>
            <w:pPr>
              <w:spacing w:after="0"/>
              <w:rPr>
                <w:sz w:val="23"/>
                <w:szCs w:val="23"/>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Weighted shares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outstanding,</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15"/>
        </w:trPr>
        <w:tc>
          <w:tcPr>
            <w:tcW w:w="1520" w:type="dxa"/>
            <w:vAlign w:val="bottom"/>
          </w:tcPr>
          <w:p>
            <w:pPr>
              <w:spacing w:after="0" w:line="314" w:lineRule="exact"/>
              <w:rPr>
                <w:sz w:val="20"/>
                <w:szCs w:val="20"/>
                <w:color w:val="auto"/>
              </w:rPr>
            </w:pPr>
            <w:r>
              <w:rPr>
                <w:rFonts w:ascii="Times New Roman" w:cs="Times New Roman" w:eastAsia="Times New Roman" w:hAnsi="Times New Roman"/>
                <w:sz w:val="22"/>
                <w:szCs w:val="22"/>
                <w:color w:val="auto"/>
              </w:rPr>
              <w:t xml:space="preserve">diluted </w:t>
            </w:r>
            <w:r>
              <w:rPr>
                <w:rFonts w:ascii="Times New Roman" w:cs="Times New Roman" w:eastAsia="Times New Roman" w:hAnsi="Times New Roman"/>
                <w:sz w:val="35"/>
                <w:szCs w:val="35"/>
                <w:color w:val="auto"/>
                <w:vertAlign w:val="superscript"/>
              </w:rPr>
              <w:t>(8)</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292,942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292,942</w:t>
            </w:r>
          </w:p>
        </w:tc>
        <w:tc>
          <w:tcPr>
            <w:tcW w:w="200" w:type="dxa"/>
            <w:vAlign w:val="bottom"/>
          </w:tcPr>
          <w:p>
            <w:pPr>
              <w:spacing w:after="0"/>
              <w:rPr>
                <w:sz w:val="24"/>
                <w:szCs w:val="24"/>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 per</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share,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0.56</w:t>
            </w:r>
          </w:p>
        </w:tc>
        <w:tc>
          <w:tcPr>
            <w:tcW w:w="2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0.01</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0.02</w:t>
            </w:r>
          </w:p>
        </w:tc>
        <w:tc>
          <w:tcPr>
            <w:tcW w:w="16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(0.28)</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200" w:type="dxa"/>
            <w:vAlign w:val="bottom"/>
          </w:tcPr>
          <w:p>
            <w:pPr>
              <w:spacing w:after="0"/>
              <w:rPr>
                <w:sz w:val="23"/>
                <w:szCs w:val="23"/>
                <w:color w:val="auto"/>
              </w:rPr>
            </w:pP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Net income per</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47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9"/>
              </w:rPr>
              <w:t xml:space="preserve">share, diluted </w:t>
            </w:r>
            <w:r>
              <w:rPr>
                <w:rFonts w:ascii="Times New Roman" w:cs="Times New Roman" w:eastAsia="Times New Roman" w:hAnsi="Times New Roman"/>
                <w:sz w:val="35"/>
                <w:szCs w:val="35"/>
                <w:color w:val="auto"/>
                <w:w w:val="99"/>
                <w:vertAlign w:val="superscript"/>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200" w:type="dxa"/>
            <w:vAlign w:val="bottom"/>
          </w:tcPr>
          <w:p>
            <w:pPr>
              <w:spacing w:after="0"/>
              <w:rPr>
                <w:sz w:val="24"/>
                <w:szCs w:val="24"/>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4"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w:t>
      </w:r>
    </w:p>
    <w:p>
      <w:pPr>
        <w:ind w:left="420" w:hanging="412"/>
        <w:spacing w:after="0" w:line="230"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intangible assets</w:t>
      </w:r>
    </w:p>
    <w:p>
      <w:pPr>
        <w:ind w:left="420" w:hanging="412"/>
        <w:spacing w:after="0" w:line="230"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fees</w:t>
      </w:r>
    </w:p>
    <w:p>
      <w:pPr>
        <w:ind w:left="420" w:hanging="412"/>
        <w:spacing w:after="0" w:line="230"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t>
      </w:r>
    </w:p>
    <w:p>
      <w:pPr>
        <w:ind w:left="420" w:hanging="412"/>
        <w:spacing w:after="0" w:line="230"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Inducement expense related to partial repurchase of the 2027 Notes</w:t>
      </w:r>
    </w:p>
    <w:p>
      <w:pPr>
        <w:ind w:left="420" w:hanging="412"/>
        <w:spacing w:after="0" w:line="230" w:lineRule="auto"/>
        <w:tabs>
          <w:tab w:leader="none" w:pos="4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Amortization of debt issuance costs and interest expense related to convertible senior notes</w:t>
      </w:r>
    </w:p>
    <w:p>
      <w:pPr>
        <w:ind w:right="40" w:firstLine="8"/>
        <w:spacing w:after="0" w:line="230" w:lineRule="auto"/>
        <w:tabs>
          <w:tab w:leader="none" w:pos="4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tax effect of non-GAAP adjustments. We use a long-term projected non-GAAP tax rate of 20% for the purposes of determining our non-GAAP net income and non-GAAP income per share, which is based on our current long-term projections. We believe the use of a long-term projected tax rate of 20% aligns with the non-GAAP measure of profitability, reduces volatility of the non-GAAP tax rate and provides consistency across reporting periods. Our estimated long-term projected tax rate is subject to change for a variety of reasons, including tax law changes in major jurisdictions in which we operate, changes in our geographic earnings mix, or other changes to our strategy or business operations. We will re-evaluate our long-term projected tax rate as appropriate.</w:t>
      </w:r>
    </w:p>
    <w:p>
      <w:pPr>
        <w:spacing w:after="0" w:line="3" w:lineRule="exact"/>
        <w:rPr>
          <w:rFonts w:ascii="Times New Roman" w:cs="Times New Roman" w:eastAsia="Times New Roman" w:hAnsi="Times New Roman"/>
          <w:sz w:val="22"/>
          <w:szCs w:val="22"/>
          <w:color w:val="auto"/>
        </w:rPr>
      </w:pPr>
    </w:p>
    <w:p>
      <w:pPr>
        <w:ind w:right="440" w:firstLine="8"/>
        <w:spacing w:after="0" w:line="230" w:lineRule="auto"/>
        <w:tabs>
          <w:tab w:leader="none" w:pos="4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25,861 potentially dilutive shares related to convertible senior notes and the issuance of shares under employee equity incentive plans</w:t>
      </w:r>
    </w:p>
    <w:p>
      <w:pPr>
        <w:spacing w:after="0" w:line="1" w:lineRule="exact"/>
        <w:rPr>
          <w:rFonts w:ascii="Times New Roman" w:cs="Times New Roman" w:eastAsia="Times New Roman" w:hAnsi="Times New Roman"/>
          <w:sz w:val="22"/>
          <w:szCs w:val="22"/>
          <w:color w:val="auto"/>
        </w:rPr>
      </w:pPr>
    </w:p>
    <w:p>
      <w:pPr>
        <w:ind w:right="180" w:firstLine="8"/>
        <w:spacing w:after="0" w:line="237" w:lineRule="auto"/>
        <w:tabs>
          <w:tab w:leader="none" w:pos="4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ASC 260, in order to calculate GAAP net income per share, diluted, the numerator has been adjusted to add back $2,074 of interest expense related to the convertible senior notes</w:t>
      </w:r>
    </w:p>
    <w:p>
      <w:pPr>
        <w:spacing w:after="0" w:line="188" w:lineRule="exact"/>
        <w:rPr>
          <w:sz w:val="20"/>
          <w:szCs w:val="20"/>
          <w:color w:val="auto"/>
        </w:rPr>
      </w:pPr>
    </w:p>
    <w:p>
      <w:pPr>
        <w:jc w:val="center"/>
        <w:ind w:right="100"/>
        <w:spacing w:after="0" w:line="262" w:lineRule="auto"/>
        <w:rPr>
          <w:sz w:val="20"/>
          <w:szCs w:val="20"/>
          <w:color w:val="auto"/>
        </w:rPr>
      </w:pPr>
      <w:r>
        <w:rPr>
          <w:rFonts w:ascii="Times New Roman" w:cs="Times New Roman" w:eastAsia="Times New Roman" w:hAnsi="Times New Roman"/>
          <w:sz w:val="22"/>
          <w:szCs w:val="22"/>
          <w:b w:val="1"/>
          <w:bCs w:val="1"/>
          <w:color w:val="auto"/>
        </w:rPr>
        <w:t>Reconciliation of GAAP Net Cash Provided by Operating Activities to Non-GAAP Free Cash Flow (Unaudited)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80" w:type="dxa"/>
            <w:vAlign w:val="bottom"/>
          </w:tcPr>
          <w:p>
            <w:pPr>
              <w:spacing w:after="0"/>
              <w:rPr>
                <w:sz w:val="21"/>
                <w:szCs w:val="21"/>
                <w:color w:val="auto"/>
              </w:rPr>
            </w:pPr>
          </w:p>
        </w:tc>
        <w:tc>
          <w:tcPr>
            <w:tcW w:w="2560" w:type="dxa"/>
            <w:vAlign w:val="bottom"/>
            <w:gridSpan w:val="4"/>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87"/>
        </w:trPr>
        <w:tc>
          <w:tcPr>
            <w:tcW w:w="5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000" w:type="dxa"/>
            <w:vAlign w:val="bottom"/>
            <w:tcBorders>
              <w:bottom w:val="single" w:sz="8" w:color="auto"/>
            </w:tcBorders>
          </w:tcPr>
          <w:p>
            <w:pPr>
              <w:spacing w:after="0"/>
              <w:rPr>
                <w:sz w:val="24"/>
                <w:szCs w:val="24"/>
                <w:color w:val="auto"/>
              </w:rPr>
            </w:pPr>
          </w:p>
        </w:tc>
      </w:tr>
      <w:tr>
        <w:trPr>
          <w:trHeight w:val="264"/>
        </w:trPr>
        <w:tc>
          <w:tcPr>
            <w:tcW w:w="5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r>
      <w:tr>
        <w:trPr>
          <w:trHeight w:val="250"/>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0" w:type="dxa"/>
            <w:vAlign w:val="bottom"/>
            <w:gridSpan w:val="5"/>
          </w:tcPr>
          <w:p>
            <w:pPr>
              <w:ind w:left="360"/>
              <w:spacing w:after="0" w:line="249" w:lineRule="exact"/>
              <w:rPr>
                <w:sz w:val="20"/>
                <w:szCs w:val="20"/>
                <w:color w:val="auto"/>
              </w:rPr>
            </w:pPr>
            <w:r>
              <w:rPr>
                <w:rFonts w:ascii="Times New Roman" w:cs="Times New Roman" w:eastAsia="Times New Roman" w:hAnsi="Times New Roman"/>
                <w:sz w:val="22"/>
                <w:szCs w:val="22"/>
                <w:b w:val="1"/>
                <w:bCs w:val="1"/>
                <w:color w:val="auto"/>
              </w:rPr>
              <w:t>(in thousands)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218,506</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207,504</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601,927</w:t>
            </w:r>
          </w:p>
        </w:tc>
        <w:tc>
          <w:tcPr>
            <w:tcW w:w="1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601,675</w:t>
            </w:r>
          </w:p>
        </w:tc>
      </w:tr>
      <w:tr>
        <w:trPr>
          <w:trHeight w:val="282"/>
        </w:trPr>
        <w:tc>
          <w:tcPr>
            <w:tcW w:w="54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Purchases of property and equipment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(15,095)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(59,533)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(38,570)</w:t>
            </w:r>
          </w:p>
        </w:tc>
      </w:tr>
      <w:tr>
        <w:trPr>
          <w:trHeight w:val="265"/>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Free cash flow</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203,411</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197,181</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542,394</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563,105</w:t>
            </w:r>
          </w:p>
        </w:tc>
      </w:tr>
      <w:tr>
        <w:trPr>
          <w:trHeight w:val="21"/>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2026-05-27T15:04:34Z</dcterms:created>
  <dcterms:modified xsi:type="dcterms:W3CDTF">2026-05-27T15:04:34Z</dcterms:modified>
</cp:coreProperties>
</file>